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19D" w:rsidRDefault="0082176F">
      <w:pPr>
        <w:rPr>
          <w:b/>
          <w:lang w:val="en-US"/>
        </w:rPr>
      </w:pPr>
      <w:r w:rsidRPr="0082176F">
        <w:rPr>
          <w:b/>
          <w:lang w:val="en-US"/>
        </w:rPr>
        <w:t>History of grain prices versus Earth's coating shift</w:t>
      </w:r>
    </w:p>
    <w:p w:rsidR="0082176F" w:rsidRDefault="0082176F">
      <w:pPr>
        <w:rPr>
          <w:b/>
          <w:lang w:val="en-US"/>
        </w:rPr>
      </w:pPr>
    </w:p>
    <w:p w:rsidR="0082176F" w:rsidRDefault="0082176F">
      <w:pPr>
        <w:rPr>
          <w:b/>
          <w:lang w:val="en-US"/>
        </w:rPr>
      </w:pPr>
      <w:proofErr w:type="spellStart"/>
      <w:r>
        <w:rPr>
          <w:b/>
          <w:lang w:val="en-US"/>
        </w:rPr>
        <w:t>Bogdan</w:t>
      </w:r>
      <w:proofErr w:type="spellEnd"/>
      <w:r>
        <w:rPr>
          <w:b/>
          <w:lang w:val="en-US"/>
        </w:rPr>
        <w:t xml:space="preserve"> </w:t>
      </w:r>
      <w:proofErr w:type="spellStart"/>
      <w:r>
        <w:rPr>
          <w:b/>
          <w:lang w:val="en-US"/>
        </w:rPr>
        <w:t>Góralski</w:t>
      </w:r>
      <w:proofErr w:type="spellEnd"/>
    </w:p>
    <w:p w:rsidR="0082176F" w:rsidRDefault="0082176F">
      <w:pPr>
        <w:rPr>
          <w:b/>
          <w:lang w:val="en-US"/>
        </w:rPr>
      </w:pPr>
    </w:p>
    <w:p w:rsidR="0082176F" w:rsidRDefault="0082176F">
      <w:pPr>
        <w:rPr>
          <w:b/>
          <w:lang w:val="en-US"/>
        </w:rPr>
      </w:pPr>
      <w:r>
        <w:rPr>
          <w:b/>
          <w:lang w:val="en-US"/>
        </w:rPr>
        <w:t xml:space="preserve">Library of Historical </w:t>
      </w:r>
      <w:proofErr w:type="spellStart"/>
      <w:r>
        <w:rPr>
          <w:b/>
          <w:lang w:val="en-US"/>
        </w:rPr>
        <w:t>Instytut</w:t>
      </w:r>
      <w:proofErr w:type="spellEnd"/>
      <w:r>
        <w:rPr>
          <w:b/>
          <w:lang w:val="en-US"/>
        </w:rPr>
        <w:t xml:space="preserve"> of University of Warsaw</w:t>
      </w:r>
    </w:p>
    <w:p w:rsidR="0020144C" w:rsidRDefault="0020144C">
      <w:pPr>
        <w:rPr>
          <w:b/>
          <w:lang w:val="en-US"/>
        </w:rPr>
      </w:pPr>
    </w:p>
    <w:p w:rsidR="0020144C" w:rsidRDefault="0020144C" w:rsidP="0020144C">
      <w:pPr>
        <w:rPr>
          <w:b/>
          <w:lang w:val="en-US"/>
        </w:rPr>
      </w:pPr>
      <w:r>
        <w:rPr>
          <w:lang w:val="en-US"/>
        </w:rPr>
        <w:t>Base on my prev</w:t>
      </w:r>
      <w:r w:rsidRPr="00AF30F6">
        <w:rPr>
          <w:lang w:val="en-US"/>
        </w:rPr>
        <w:t xml:space="preserve">ious work titled </w:t>
      </w:r>
      <w:r w:rsidRPr="005A1037">
        <w:rPr>
          <w:b/>
          <w:lang w:val="en-US"/>
        </w:rPr>
        <w:t xml:space="preserve">Climate changes versus  Earth's </w:t>
      </w:r>
      <w:proofErr w:type="spellStart"/>
      <w:r w:rsidRPr="005A1037">
        <w:rPr>
          <w:b/>
          <w:lang w:val="en-US"/>
        </w:rPr>
        <w:t>geoide</w:t>
      </w:r>
      <w:proofErr w:type="spellEnd"/>
      <w:r w:rsidRPr="005A1037">
        <w:rPr>
          <w:b/>
          <w:lang w:val="en-US"/>
        </w:rPr>
        <w:t xml:space="preserve"> shape changes</w:t>
      </w:r>
    </w:p>
    <w:p w:rsidR="0020144C" w:rsidRDefault="0020144C" w:rsidP="0020144C">
      <w:pPr>
        <w:rPr>
          <w:lang w:val="en-US"/>
        </w:rPr>
      </w:pPr>
      <w:r>
        <w:rPr>
          <w:lang w:val="en-US"/>
        </w:rPr>
        <w:t>I can make the statement:</w:t>
      </w:r>
    </w:p>
    <w:p w:rsidR="0020144C" w:rsidRPr="0094068C" w:rsidRDefault="0020144C" w:rsidP="0020144C">
      <w:pPr>
        <w:rPr>
          <w:noProof/>
          <w:lang w:val="en-US"/>
        </w:rPr>
      </w:pPr>
      <w:r>
        <w:rPr>
          <w:lang w:val="en-US"/>
        </w:rPr>
        <w:t>"</w:t>
      </w:r>
      <w:r w:rsidRPr="00AF30F6">
        <w:rPr>
          <w:noProof/>
          <w:lang w:val="en-US"/>
        </w:rPr>
        <w:t xml:space="preserve"> </w:t>
      </w:r>
      <w:r w:rsidRPr="0094068C">
        <w:rPr>
          <w:noProof/>
          <w:lang w:val="en-US"/>
        </w:rPr>
        <w:t>In my previous work I presented the concept of rotational motion of the Earth controlled by the movements of the masses of the Solar System. Changes in gravity and magnetism (?) in the Solar Syst</w:t>
      </w:r>
      <w:r>
        <w:rPr>
          <w:noProof/>
          <w:lang w:val="en-US"/>
        </w:rPr>
        <w:t xml:space="preserve">em cause the Earth's coating </w:t>
      </w:r>
      <w:r w:rsidRPr="0094068C">
        <w:rPr>
          <w:noProof/>
          <w:lang w:val="en-US"/>
        </w:rPr>
        <w:t>move</w:t>
      </w:r>
      <w:r>
        <w:rPr>
          <w:noProof/>
          <w:lang w:val="en-US"/>
        </w:rPr>
        <w:t>ment</w:t>
      </w:r>
      <w:r w:rsidRPr="0094068C">
        <w:rPr>
          <w:noProof/>
          <w:lang w:val="en-US"/>
        </w:rPr>
        <w:t xml:space="preserve"> against the ecliptic. Earth's coating consisting of earth's crust and mantle rotates by slipping on the surface of the outer, liquid and metallic earth nucleus.</w:t>
      </w:r>
      <w:r>
        <w:rPr>
          <w:noProof/>
          <w:lang w:val="en-US"/>
        </w:rPr>
        <w:t xml:space="preserve"> </w:t>
      </w:r>
      <w:r w:rsidRPr="0094068C">
        <w:rPr>
          <w:noProof/>
          <w:lang w:val="en-US"/>
        </w:rPr>
        <w:t>Below I present evidence that the movement of the earth's coating is the cause of the constellation's star movement, and the precession of the earth's axis is absent. This observer on Earth is changing position, and star constellations are probably not moving.</w:t>
      </w:r>
    </w:p>
    <w:p w:rsidR="0020144C" w:rsidRPr="0094068C" w:rsidRDefault="0020144C" w:rsidP="0020144C">
      <w:pPr>
        <w:rPr>
          <w:noProof/>
          <w:lang w:val="en-US"/>
        </w:rPr>
      </w:pPr>
      <w:r w:rsidRPr="0094068C">
        <w:rPr>
          <w:noProof/>
          <w:lang w:val="en-US"/>
        </w:rPr>
        <w:t>Earth coating movement and climate change</w:t>
      </w:r>
    </w:p>
    <w:p w:rsidR="0020144C" w:rsidRPr="00AF30F6" w:rsidRDefault="0020144C" w:rsidP="0020144C">
      <w:pPr>
        <w:rPr>
          <w:lang w:val="en-US"/>
        </w:rPr>
      </w:pPr>
      <w:r w:rsidRPr="0094068C">
        <w:rPr>
          <w:noProof/>
          <w:lang w:val="en-US"/>
        </w:rPr>
        <w:t>Earth coating movements cause climate change</w:t>
      </w:r>
      <w:r>
        <w:rPr>
          <w:noProof/>
          <w:lang w:val="en-US"/>
        </w:rPr>
        <w:t xml:space="preserve"> and increasing of grain prices</w:t>
      </w:r>
      <w:r w:rsidRPr="0094068C">
        <w:rPr>
          <w:noProof/>
          <w:lang w:val="en-US"/>
        </w:rPr>
        <w:t>, changes in the velocity of Earth's geoid circulation, and earthquakes. These phenomena are correlated, proving numerous scientific papers, including those cited below</w:t>
      </w:r>
      <w:r>
        <w:rPr>
          <w:noProof/>
          <w:lang w:val="en-US"/>
        </w:rPr>
        <w:t>".</w:t>
      </w:r>
    </w:p>
    <w:p w:rsidR="00AF7B2A" w:rsidRDefault="00AF7B2A"/>
    <w:p w:rsidR="00AF7B2A" w:rsidRDefault="00AF7B2A"/>
    <w:p w:rsidR="0082176F" w:rsidRDefault="0082176F">
      <w:pPr>
        <w:rPr>
          <w:b/>
          <w:lang w:val="en-US"/>
        </w:rPr>
      </w:pPr>
      <w:r>
        <w:object w:dxaOrig="15767" w:dyaOrig="11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43.5pt" o:ole="" filled="t">
            <v:fill color2="black"/>
            <v:imagedata r:id="rId4" o:title=""/>
          </v:shape>
          <o:OLEObject Type="Embed" ProgID="PBrush" ShapeID="_x0000_i1025" DrawAspect="Content" ObjectID="_1595566292" r:id="rId5"/>
        </w:object>
      </w:r>
    </w:p>
    <w:p w:rsidR="00AF7B2A" w:rsidRPr="006030A5" w:rsidRDefault="00AF7B2A" w:rsidP="00AF7B2A">
      <w:pPr>
        <w:spacing w:line="360" w:lineRule="auto"/>
        <w:jc w:val="both"/>
        <w:rPr>
          <w:lang w:val="en-US"/>
        </w:rPr>
      </w:pPr>
      <w:r>
        <w:rPr>
          <w:lang w:val="en-US"/>
        </w:rPr>
        <w:t>Fig. 1</w:t>
      </w:r>
      <w:r w:rsidRPr="006030A5">
        <w:rPr>
          <w:lang w:val="en-US"/>
        </w:rPr>
        <w:t>. Grain prices in China and Europe in 1738-1906 (in grams of silver per kilogram)</w:t>
      </w:r>
    </w:p>
    <w:p w:rsidR="00AF7B2A" w:rsidRPr="006030A5" w:rsidRDefault="00AF7B2A" w:rsidP="00AF7B2A">
      <w:pPr>
        <w:spacing w:line="360" w:lineRule="auto"/>
        <w:jc w:val="both"/>
        <w:rPr>
          <w:lang w:val="en-US"/>
        </w:rPr>
      </w:pPr>
      <w:r w:rsidRPr="006030A5">
        <w:rPr>
          <w:lang w:val="en-US"/>
        </w:rPr>
        <w:t xml:space="preserve">Sources: Rice prices in the lower reaches of Yangzi and wheat prices in </w:t>
      </w:r>
      <w:proofErr w:type="spellStart"/>
      <w:r w:rsidRPr="006030A5">
        <w:rPr>
          <w:lang w:val="en-US"/>
        </w:rPr>
        <w:t>Zhili</w:t>
      </w:r>
      <w:proofErr w:type="spellEnd"/>
      <w:r w:rsidRPr="006030A5">
        <w:rPr>
          <w:lang w:val="en-US"/>
        </w:rPr>
        <w:t xml:space="preserve">-in North China from the work of Lillian </w:t>
      </w:r>
      <w:proofErr w:type="spellStart"/>
      <w:r w:rsidRPr="006030A5">
        <w:rPr>
          <w:lang w:val="en-US"/>
        </w:rPr>
        <w:t>M.Li</w:t>
      </w:r>
      <w:proofErr w:type="spellEnd"/>
      <w:r w:rsidRPr="006030A5">
        <w:rPr>
          <w:lang w:val="en-US"/>
        </w:rPr>
        <w:t xml:space="preserve">, Integration and Disintegration in North China's Grain Markets, </w:t>
      </w:r>
      <w:r w:rsidRPr="006030A5">
        <w:rPr>
          <w:lang w:val="en-US"/>
        </w:rPr>
        <w:lastRenderedPageBreak/>
        <w:t>1738-1911, The Journal of Economic History, Vol.60, No.3 (Sept.2000), European prices from Robert C. Allen's work The Great Divergence in European Wages and Prices from the Middle Ages to the First World War, Explorations in Economic History, 38, 2001, 411-447</w:t>
      </w:r>
    </w:p>
    <w:p w:rsidR="00AF7B2A" w:rsidRPr="006030A5" w:rsidRDefault="00AF7B2A" w:rsidP="00AF7B2A">
      <w:pPr>
        <w:spacing w:line="360" w:lineRule="auto"/>
        <w:jc w:val="both"/>
        <w:rPr>
          <w:lang w:val="en-US"/>
        </w:rPr>
      </w:pPr>
    </w:p>
    <w:p w:rsidR="00AF7B2A" w:rsidRPr="006030A5" w:rsidRDefault="00AF7B2A" w:rsidP="00AF7B2A">
      <w:pPr>
        <w:spacing w:line="360" w:lineRule="auto"/>
        <w:jc w:val="both"/>
        <w:rPr>
          <w:lang w:val="en-US"/>
        </w:rPr>
      </w:pPr>
      <w:r w:rsidRPr="006030A5">
        <w:rPr>
          <w:lang w:val="en-US"/>
        </w:rPr>
        <w:t>The above chart comes from the following work resulting from the cooperation of many authors:</w:t>
      </w:r>
    </w:p>
    <w:p w:rsidR="00AF7B2A" w:rsidRDefault="00AF7B2A" w:rsidP="00AF7B2A">
      <w:pPr>
        <w:spacing w:line="360" w:lineRule="auto"/>
        <w:jc w:val="both"/>
        <w:rPr>
          <w:b/>
          <w:lang w:val="en-US"/>
        </w:rPr>
      </w:pPr>
      <w:r w:rsidRPr="00310E55">
        <w:rPr>
          <w:b/>
          <w:lang w:val="en-US"/>
        </w:rPr>
        <w:t>Wages, Prices, and Living Standards in China, Japan, and Europe, 1738-1925.</w:t>
      </w:r>
    </w:p>
    <w:p w:rsidR="00310E55" w:rsidRPr="00310E55" w:rsidRDefault="00310E55" w:rsidP="00AF7B2A">
      <w:pPr>
        <w:spacing w:line="360" w:lineRule="auto"/>
        <w:jc w:val="both"/>
        <w:rPr>
          <w:b/>
          <w:lang w:val="en-US"/>
        </w:rPr>
      </w:pPr>
    </w:p>
    <w:p w:rsidR="00AF7B2A" w:rsidRPr="006030A5" w:rsidRDefault="00AF7B2A" w:rsidP="00AF7B2A">
      <w:pPr>
        <w:spacing w:line="360" w:lineRule="auto"/>
        <w:jc w:val="both"/>
        <w:rPr>
          <w:lang w:val="en-US"/>
        </w:rPr>
      </w:pPr>
      <w:r w:rsidRPr="006030A5">
        <w:rPr>
          <w:lang w:val="en-US"/>
        </w:rPr>
        <w:t>Robert C. Allen, University of Oxford, Nuffield College,</w:t>
      </w:r>
    </w:p>
    <w:p w:rsidR="00AF7B2A" w:rsidRPr="006030A5" w:rsidRDefault="00AF7B2A" w:rsidP="00AF7B2A">
      <w:pPr>
        <w:spacing w:line="360" w:lineRule="auto"/>
        <w:jc w:val="both"/>
        <w:rPr>
          <w:lang w:val="en-US"/>
        </w:rPr>
      </w:pPr>
      <w:r w:rsidRPr="006030A5">
        <w:rPr>
          <w:lang w:val="en-US"/>
        </w:rPr>
        <w:t>bob.allen@nuffield.oxford.ac.u</w:t>
      </w:r>
    </w:p>
    <w:p w:rsidR="00AF7B2A" w:rsidRPr="006030A5" w:rsidRDefault="00AF7B2A" w:rsidP="00AF7B2A">
      <w:pPr>
        <w:spacing w:line="360" w:lineRule="auto"/>
        <w:jc w:val="both"/>
        <w:rPr>
          <w:lang w:val="en-US"/>
        </w:rPr>
      </w:pPr>
      <w:r w:rsidRPr="006030A5">
        <w:rPr>
          <w:lang w:val="en-US"/>
        </w:rPr>
        <w:t>Nuffield College, New Road, Oxford OX1 1NF</w:t>
      </w:r>
    </w:p>
    <w:p w:rsidR="00AF7B2A" w:rsidRPr="006030A5" w:rsidRDefault="00AF7B2A" w:rsidP="00AF7B2A">
      <w:pPr>
        <w:spacing w:line="360" w:lineRule="auto"/>
        <w:jc w:val="both"/>
        <w:rPr>
          <w:lang w:val="en-US"/>
        </w:rPr>
      </w:pPr>
      <w:r w:rsidRPr="006030A5">
        <w:rPr>
          <w:lang w:val="en-US"/>
        </w:rPr>
        <w:t xml:space="preserve">Jean-Pascal </w:t>
      </w:r>
      <w:proofErr w:type="spellStart"/>
      <w:r w:rsidRPr="006030A5">
        <w:rPr>
          <w:lang w:val="en-US"/>
        </w:rPr>
        <w:t>Bassino</w:t>
      </w:r>
      <w:proofErr w:type="spellEnd"/>
      <w:r w:rsidRPr="006030A5">
        <w:rPr>
          <w:lang w:val="en-US"/>
        </w:rPr>
        <w:t xml:space="preserve">, </w:t>
      </w:r>
      <w:proofErr w:type="spellStart"/>
      <w:r w:rsidRPr="006030A5">
        <w:rPr>
          <w:lang w:val="en-US"/>
        </w:rPr>
        <w:t>Maison</w:t>
      </w:r>
      <w:proofErr w:type="spellEnd"/>
      <w:r w:rsidRPr="006030A5">
        <w:rPr>
          <w:lang w:val="en-US"/>
        </w:rPr>
        <w:t xml:space="preserve"> Franco-</w:t>
      </w:r>
      <w:proofErr w:type="spellStart"/>
      <w:r w:rsidRPr="006030A5">
        <w:rPr>
          <w:lang w:val="en-US"/>
        </w:rPr>
        <w:t>Japonaise</w:t>
      </w:r>
      <w:proofErr w:type="spellEnd"/>
      <w:r w:rsidRPr="006030A5">
        <w:rPr>
          <w:lang w:val="en-US"/>
        </w:rPr>
        <w:t xml:space="preserve">, Tokyo / </w:t>
      </w:r>
      <w:proofErr w:type="spellStart"/>
      <w:r w:rsidRPr="006030A5">
        <w:rPr>
          <w:lang w:val="en-US"/>
        </w:rPr>
        <w:t>Hitotsubashi</w:t>
      </w:r>
      <w:proofErr w:type="spellEnd"/>
      <w:r w:rsidRPr="006030A5">
        <w:rPr>
          <w:lang w:val="en-US"/>
        </w:rPr>
        <w:t xml:space="preserve"> University,</w:t>
      </w:r>
    </w:p>
    <w:p w:rsidR="00AF7B2A" w:rsidRPr="006030A5" w:rsidRDefault="00AF7B2A" w:rsidP="00AF7B2A">
      <w:pPr>
        <w:spacing w:line="360" w:lineRule="auto"/>
        <w:jc w:val="both"/>
        <w:rPr>
          <w:lang w:val="en-US"/>
        </w:rPr>
      </w:pPr>
      <w:r w:rsidRPr="006030A5">
        <w:rPr>
          <w:lang w:val="en-US"/>
        </w:rPr>
        <w:t>Tokyo, bassino@mfj.gr.jp</w:t>
      </w:r>
    </w:p>
    <w:p w:rsidR="00AF7B2A" w:rsidRPr="006030A5" w:rsidRDefault="00AF7B2A" w:rsidP="00AF7B2A">
      <w:pPr>
        <w:spacing w:line="360" w:lineRule="auto"/>
        <w:jc w:val="both"/>
        <w:rPr>
          <w:lang w:val="en-US"/>
        </w:rPr>
      </w:pPr>
      <w:proofErr w:type="spellStart"/>
      <w:r w:rsidRPr="006030A5">
        <w:rPr>
          <w:lang w:val="en-US"/>
        </w:rPr>
        <w:t>Debin</w:t>
      </w:r>
      <w:proofErr w:type="spellEnd"/>
      <w:r w:rsidRPr="006030A5">
        <w:rPr>
          <w:lang w:val="en-US"/>
        </w:rPr>
        <w:t xml:space="preserve"> Ma, GRIPS / FASID Tokyo, debinma@grips.ac.jp</w:t>
      </w:r>
    </w:p>
    <w:p w:rsidR="00AF7B2A" w:rsidRPr="006030A5" w:rsidRDefault="00AF7B2A" w:rsidP="00AF7B2A">
      <w:pPr>
        <w:spacing w:line="360" w:lineRule="auto"/>
        <w:jc w:val="both"/>
        <w:rPr>
          <w:lang w:val="en-US"/>
        </w:rPr>
      </w:pPr>
      <w:r w:rsidRPr="006030A5">
        <w:rPr>
          <w:lang w:val="en-US"/>
        </w:rPr>
        <w:t>Christine Moll-Murata, Utrecht University, Christine.Mollmurata@let.uu.nl</w:t>
      </w:r>
    </w:p>
    <w:p w:rsidR="00AF7B2A" w:rsidRPr="006030A5" w:rsidRDefault="00AF7B2A" w:rsidP="00AF7B2A">
      <w:pPr>
        <w:spacing w:line="360" w:lineRule="auto"/>
        <w:jc w:val="both"/>
        <w:rPr>
          <w:lang w:val="en-US"/>
        </w:rPr>
      </w:pPr>
      <w:r w:rsidRPr="006030A5">
        <w:rPr>
          <w:lang w:val="en-US"/>
        </w:rPr>
        <w:t xml:space="preserve">Jan </w:t>
      </w:r>
      <w:proofErr w:type="spellStart"/>
      <w:r w:rsidRPr="006030A5">
        <w:rPr>
          <w:lang w:val="en-US"/>
        </w:rPr>
        <w:t>Luiten</w:t>
      </w:r>
      <w:proofErr w:type="spellEnd"/>
      <w:r w:rsidRPr="006030A5">
        <w:rPr>
          <w:lang w:val="en-US"/>
        </w:rPr>
        <w:t xml:space="preserve"> van </w:t>
      </w:r>
      <w:proofErr w:type="spellStart"/>
      <w:r w:rsidRPr="006030A5">
        <w:rPr>
          <w:lang w:val="en-US"/>
        </w:rPr>
        <w:t>Zanden</w:t>
      </w:r>
      <w:proofErr w:type="spellEnd"/>
      <w:r w:rsidRPr="006030A5">
        <w:rPr>
          <w:lang w:val="en-US"/>
        </w:rPr>
        <w:t>, Utrecht University / International Institute for Social History,</w:t>
      </w:r>
    </w:p>
    <w:p w:rsidR="00AF7B2A" w:rsidRPr="00E119A6" w:rsidRDefault="00AF7B2A" w:rsidP="00AF7B2A">
      <w:pPr>
        <w:spacing w:line="360" w:lineRule="auto"/>
        <w:jc w:val="both"/>
        <w:rPr>
          <w:lang w:val="en-US"/>
        </w:rPr>
      </w:pPr>
      <w:r w:rsidRPr="00E119A6">
        <w:rPr>
          <w:lang w:val="en-US"/>
        </w:rPr>
        <w:t>Amsterdam, jvz@iisg.nl</w:t>
      </w:r>
    </w:p>
    <w:p w:rsidR="00AF7B2A" w:rsidRPr="006030A5" w:rsidRDefault="00AF7B2A" w:rsidP="00AF7B2A">
      <w:pPr>
        <w:spacing w:line="360" w:lineRule="auto"/>
        <w:jc w:val="both"/>
        <w:rPr>
          <w:lang w:val="en-US"/>
        </w:rPr>
      </w:pPr>
      <w:r w:rsidRPr="006030A5">
        <w:rPr>
          <w:lang w:val="en-US"/>
        </w:rPr>
        <w:t> Link to the above work: http://www.iisg.nl/research/jvz-wages_prices.pdf</w:t>
      </w:r>
    </w:p>
    <w:p w:rsidR="0082176F" w:rsidRPr="0082176F" w:rsidRDefault="0082176F">
      <w:pPr>
        <w:rPr>
          <w:b/>
          <w:lang w:val="en-US"/>
        </w:rPr>
      </w:pPr>
    </w:p>
    <w:p w:rsidR="00B251C5" w:rsidRPr="00AF7B2A" w:rsidRDefault="00B251C5" w:rsidP="0082176F">
      <w:pPr>
        <w:spacing w:line="360" w:lineRule="auto"/>
        <w:jc w:val="both"/>
        <w:rPr>
          <w:lang w:val="en-US"/>
        </w:rPr>
      </w:pPr>
    </w:p>
    <w:p w:rsidR="00B251C5" w:rsidRPr="00B251C5" w:rsidRDefault="00B251C5" w:rsidP="0082176F">
      <w:pPr>
        <w:spacing w:line="360" w:lineRule="auto"/>
        <w:jc w:val="both"/>
        <w:rPr>
          <w:lang w:val="en-US"/>
        </w:rPr>
      </w:pPr>
      <w:r w:rsidRPr="00B251C5">
        <w:rPr>
          <w:lang w:val="en-US"/>
        </w:rPr>
        <w:t xml:space="preserve">Rainfall is dependent on </w:t>
      </w:r>
      <w:proofErr w:type="spellStart"/>
      <w:r w:rsidRPr="00B251C5">
        <w:rPr>
          <w:lang w:val="en-US"/>
        </w:rPr>
        <w:t>insolation</w:t>
      </w:r>
      <w:proofErr w:type="spellEnd"/>
      <w:r w:rsidRPr="00B251C5">
        <w:rPr>
          <w:lang w:val="en-US"/>
        </w:rPr>
        <w:t xml:space="preserve"> and atmospheric circulation because they are associated with currents rising in the atmosphere that are </w:t>
      </w:r>
      <w:proofErr w:type="spellStart"/>
      <w:r w:rsidRPr="00B251C5">
        <w:rPr>
          <w:lang w:val="en-US"/>
        </w:rPr>
        <w:t>raiseing</w:t>
      </w:r>
      <w:proofErr w:type="spellEnd"/>
      <w:r w:rsidRPr="00B251C5">
        <w:rPr>
          <w:lang w:val="en-US"/>
        </w:rPr>
        <w:t xml:space="preserve">  high-humidity air that condenses to create clouds that bring rain. When the Earth's coating moves in relation to the ecliptic plane, </w:t>
      </w:r>
      <w:proofErr w:type="spellStart"/>
      <w:r w:rsidRPr="00B251C5">
        <w:rPr>
          <w:lang w:val="en-US"/>
        </w:rPr>
        <w:t>ie</w:t>
      </w:r>
      <w:proofErr w:type="spellEnd"/>
      <w:r w:rsidRPr="00B251C5">
        <w:rPr>
          <w:lang w:val="en-US"/>
        </w:rPr>
        <w:t xml:space="preserve"> the Sun, zones with life-giving rainfall move on the Earth's surface and there are fertile zones in agriculture </w:t>
      </w:r>
      <w:proofErr w:type="spellStart"/>
      <w:r w:rsidRPr="00B251C5">
        <w:rPr>
          <w:lang w:val="en-US"/>
        </w:rPr>
        <w:t>i.e.well</w:t>
      </w:r>
      <w:proofErr w:type="spellEnd"/>
      <w:r w:rsidRPr="00B251C5">
        <w:rPr>
          <w:lang w:val="en-US"/>
        </w:rPr>
        <w:t>-hydrated zones and crop failure in dry areas. This results in an increase or decrease in food prices in different regions of the globe at the same time as shown in Figure 1. The shift of the earth's coating against the ecliptic in 1790-1810 caused drought in Western Europe, a drastic rise in food prices and, in effect, a bloody French Revolution. At that time in Asia there were better climatic conditions than in Europe and food prices were stable. Since 1890, there has been a global increase in food prices (there was already a global food market, which was transported by steamers), which was probably related to the lack of precipitation in the countries of southern Europe and southern Asia. This shows the next movement of the earth's coating, which shifted the precipitation of the life-giving monsoon from the north more towards the south of Asia.</w:t>
      </w:r>
    </w:p>
    <w:p w:rsidR="0082176F" w:rsidRPr="00B251C5" w:rsidRDefault="0082176F" w:rsidP="0082176F">
      <w:pPr>
        <w:spacing w:line="360" w:lineRule="auto"/>
        <w:jc w:val="both"/>
        <w:rPr>
          <w:snapToGrid w:val="0"/>
          <w:lang w:val="en-US"/>
        </w:rPr>
      </w:pPr>
    </w:p>
    <w:p w:rsidR="0082176F" w:rsidRPr="00B251C5" w:rsidRDefault="0082176F" w:rsidP="0082176F">
      <w:pPr>
        <w:rPr>
          <w:lang w:val="en-US"/>
        </w:rPr>
      </w:pPr>
    </w:p>
    <w:p w:rsidR="0082176F" w:rsidRDefault="0082176F">
      <w:r w:rsidRPr="00CB2BDE">
        <w:object w:dxaOrig="12362" w:dyaOrig="4831">
          <v:shape id="_x0000_i1026" type="#_x0000_t75" style="width:453pt;height:177pt" o:ole="">
            <v:imagedata r:id="rId6" o:title=""/>
          </v:shape>
          <o:OLEObject Type="Embed" ProgID="PBrush" ShapeID="_x0000_i1026" DrawAspect="Content" ObjectID="_1595566293" r:id="rId7"/>
        </w:object>
      </w:r>
    </w:p>
    <w:p w:rsidR="0082176F" w:rsidRDefault="0082176F"/>
    <w:p w:rsidR="0082176F" w:rsidRPr="00A079C6" w:rsidRDefault="00AA099F" w:rsidP="0082176F">
      <w:pPr>
        <w:autoSpaceDE w:val="0"/>
        <w:autoSpaceDN w:val="0"/>
        <w:adjustRightInd w:val="0"/>
        <w:rPr>
          <w:lang w:val="en-US"/>
        </w:rPr>
      </w:pPr>
      <w:r>
        <w:rPr>
          <w:i/>
          <w:iCs/>
          <w:lang w:val="en-US"/>
        </w:rPr>
        <w:t xml:space="preserve">Rys.2 </w:t>
      </w:r>
      <w:r w:rsidR="0082176F" w:rsidRPr="00CB2BDE">
        <w:rPr>
          <w:i/>
          <w:iCs/>
          <w:lang w:val="en-US"/>
        </w:rPr>
        <w:t xml:space="preserve"> </w:t>
      </w:r>
      <w:r w:rsidR="0082176F" w:rsidRPr="00CB2BDE">
        <w:rPr>
          <w:b/>
          <w:bCs/>
          <w:lang w:val="en-US"/>
        </w:rPr>
        <w:t xml:space="preserve"> Figure 7. </w:t>
      </w:r>
      <w:r w:rsidR="0082176F" w:rsidRPr="00CB2BDE">
        <w:rPr>
          <w:lang w:val="en-US"/>
        </w:rPr>
        <w:t xml:space="preserve">Change in the length of day since 1620  (after Stephenson F. R., Morrison L. V., </w:t>
      </w:r>
      <w:r w:rsidR="0082176F" w:rsidRPr="00CB2BDE">
        <w:rPr>
          <w:i/>
          <w:iCs/>
          <w:lang w:val="en-US"/>
        </w:rPr>
        <w:t xml:space="preserve">Philos. </w:t>
      </w:r>
      <w:r w:rsidR="0082176F" w:rsidRPr="00A079C6">
        <w:rPr>
          <w:i/>
          <w:iCs/>
          <w:lang w:val="en-US"/>
        </w:rPr>
        <w:t>Trans. R. Soc. London</w:t>
      </w:r>
      <w:r w:rsidR="0082176F" w:rsidRPr="00A079C6">
        <w:rPr>
          <w:lang w:val="en-US"/>
        </w:rPr>
        <w:t xml:space="preserve">, 1984, </w:t>
      </w:r>
      <w:r w:rsidR="0082176F" w:rsidRPr="00A079C6">
        <w:rPr>
          <w:b/>
          <w:bCs/>
          <w:lang w:val="en-US"/>
        </w:rPr>
        <w:t>A313</w:t>
      </w:r>
      <w:r w:rsidR="0082176F" w:rsidRPr="00A079C6">
        <w:rPr>
          <w:lang w:val="en-US"/>
        </w:rPr>
        <w:t>, 47-70).</w:t>
      </w:r>
    </w:p>
    <w:p w:rsidR="0082176F" w:rsidRPr="00CB2BDE" w:rsidRDefault="0082176F" w:rsidP="0082176F">
      <w:pPr>
        <w:autoSpaceDE w:val="0"/>
        <w:autoSpaceDN w:val="0"/>
        <w:adjustRightInd w:val="0"/>
        <w:rPr>
          <w:i/>
          <w:iCs/>
          <w:lang w:val="en-US"/>
        </w:rPr>
      </w:pPr>
      <w:r w:rsidRPr="00CB2BDE">
        <w:rPr>
          <w:lang w:val="en-US"/>
        </w:rPr>
        <w:t xml:space="preserve">Stephenson F. R., Morrison L. V., </w:t>
      </w:r>
      <w:r w:rsidRPr="00CB2BDE">
        <w:rPr>
          <w:i/>
          <w:iCs/>
          <w:lang w:val="en-US"/>
        </w:rPr>
        <w:t xml:space="preserve">Philos. Trans. R. </w:t>
      </w:r>
      <w:proofErr w:type="spellStart"/>
      <w:r w:rsidRPr="00CB2BDE">
        <w:rPr>
          <w:i/>
          <w:iCs/>
          <w:lang w:val="en-US"/>
        </w:rPr>
        <w:t>Soc.London</w:t>
      </w:r>
      <w:proofErr w:type="spellEnd"/>
      <w:r w:rsidRPr="00CB2BDE">
        <w:rPr>
          <w:i/>
          <w:iCs/>
          <w:lang w:val="en-US"/>
        </w:rPr>
        <w:t xml:space="preserve">, </w:t>
      </w:r>
      <w:r w:rsidRPr="00CB2BDE">
        <w:rPr>
          <w:lang w:val="en-US"/>
        </w:rPr>
        <w:t xml:space="preserve">1995, </w:t>
      </w:r>
      <w:r w:rsidRPr="00CB2BDE">
        <w:rPr>
          <w:b/>
          <w:bCs/>
          <w:lang w:val="en-US"/>
        </w:rPr>
        <w:t>A351</w:t>
      </w:r>
      <w:r w:rsidRPr="00CB2BDE">
        <w:rPr>
          <w:lang w:val="en-US"/>
        </w:rPr>
        <w:t xml:space="preserve">, 165- 202. </w:t>
      </w:r>
    </w:p>
    <w:p w:rsidR="0082176F" w:rsidRPr="00CB2BDE" w:rsidRDefault="005B0B92" w:rsidP="0082176F">
      <w:pPr>
        <w:pStyle w:val="Default"/>
        <w:spacing w:line="360" w:lineRule="auto"/>
        <w:rPr>
          <w:rFonts w:eastAsia="PLRoman12-Regular"/>
          <w:b/>
          <w:bCs/>
          <w:lang w:val="en-US"/>
        </w:rPr>
      </w:pPr>
      <w:hyperlink r:id="rId8" w:history="1">
        <w:r w:rsidR="0082176F" w:rsidRPr="00CB2BDE">
          <w:rPr>
            <w:rStyle w:val="Hipercze"/>
            <w:rFonts w:eastAsia="PLRoman12-Regular"/>
            <w:b/>
            <w:bCs/>
            <w:lang w:val="en-US"/>
          </w:rPr>
          <w:t>http://www.cl.cam.ac.uk/~mgk25/time/metrologia-leapsecond.pdf</w:t>
        </w:r>
      </w:hyperlink>
      <w:r w:rsidR="0082176F">
        <w:rPr>
          <w:rFonts w:eastAsia="PLRoman12-Regular"/>
          <w:b/>
          <w:bCs/>
          <w:lang w:val="en-US"/>
        </w:rPr>
        <w:t xml:space="preserve">. </w:t>
      </w:r>
      <w:proofErr w:type="spellStart"/>
      <w:r w:rsidR="0082176F">
        <w:rPr>
          <w:rFonts w:eastAsia="PLRoman12-Regular"/>
          <w:b/>
          <w:bCs/>
          <w:lang w:val="en-US"/>
        </w:rPr>
        <w:t>Pobrane</w:t>
      </w:r>
      <w:proofErr w:type="spellEnd"/>
      <w:r w:rsidR="0082176F">
        <w:rPr>
          <w:rFonts w:eastAsia="PLRoman12-Regular"/>
          <w:b/>
          <w:bCs/>
          <w:lang w:val="en-US"/>
        </w:rPr>
        <w:t xml:space="preserve"> 2012 r.</w:t>
      </w:r>
    </w:p>
    <w:p w:rsidR="0082176F" w:rsidRPr="00CB2BDE" w:rsidRDefault="0082176F" w:rsidP="0082176F">
      <w:pPr>
        <w:autoSpaceDE w:val="0"/>
        <w:autoSpaceDN w:val="0"/>
        <w:adjustRightInd w:val="0"/>
        <w:rPr>
          <w:i/>
          <w:iCs/>
          <w:lang w:val="en-US"/>
        </w:rPr>
      </w:pPr>
    </w:p>
    <w:p w:rsidR="0082176F" w:rsidRDefault="0082176F" w:rsidP="0082176F">
      <w:r w:rsidRPr="00CB2BDE">
        <w:rPr>
          <w:lang w:val="en-US"/>
        </w:rPr>
        <w:t xml:space="preserve">Source of data of earthquakes:  Author’s own analysis based on data from the U.S.G.S. Earthquake Hazard Program. Source of data: </w:t>
      </w:r>
      <w:hyperlink r:id="rId9" w:history="1">
        <w:r w:rsidRPr="00CB2BDE">
          <w:rPr>
            <w:rStyle w:val="Hipercze"/>
            <w:lang w:val="en-US"/>
          </w:rPr>
          <w:t>http://neic.usgs.gov/neis/eqlists/7up.html</w:t>
        </w:r>
      </w:hyperlink>
    </w:p>
    <w:p w:rsidR="00654B28" w:rsidRDefault="00654B28" w:rsidP="0082176F"/>
    <w:p w:rsidR="00654B28" w:rsidRDefault="00654B28" w:rsidP="0082176F"/>
    <w:p w:rsidR="00654B28" w:rsidRPr="00C20A68" w:rsidRDefault="00C20A68" w:rsidP="0082176F">
      <w:pPr>
        <w:rPr>
          <w:lang w:val="en-US"/>
        </w:rPr>
      </w:pPr>
      <w:r w:rsidRPr="00C20A68">
        <w:rPr>
          <w:lang w:val="en-US"/>
        </w:rPr>
        <w:t>With the increase in the LOD value, drought in India grows and rain falls in the USA and vice versa what we can see in the figure below. Changes in LOD values are related to the gravitational interaction of the Moon, Sun and planets.</w:t>
      </w:r>
    </w:p>
    <w:p w:rsidR="00654B28" w:rsidRPr="00CB2BDE" w:rsidRDefault="00654B28" w:rsidP="0082176F">
      <w:pPr>
        <w:rPr>
          <w:lang w:val="en-US"/>
        </w:rPr>
      </w:pPr>
      <w:r w:rsidRPr="00654B28">
        <w:drawing>
          <wp:inline distT="0" distB="0" distL="0" distR="0">
            <wp:extent cx="5760720" cy="3762903"/>
            <wp:effectExtent l="19050" t="0" r="11430" b="8997"/>
            <wp:docPr id="6"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2176F" w:rsidRDefault="0082176F">
      <w:pPr>
        <w:rPr>
          <w:lang w:val="en-US"/>
        </w:rPr>
      </w:pPr>
    </w:p>
    <w:p w:rsidR="00654B28" w:rsidRDefault="00310E55" w:rsidP="00654B28">
      <w:pPr>
        <w:rPr>
          <w:lang w:val="en-US"/>
        </w:rPr>
      </w:pPr>
      <w:r>
        <w:rPr>
          <w:lang w:val="en-US"/>
        </w:rPr>
        <w:t>Fig.3.</w:t>
      </w:r>
      <w:r w:rsidR="00654B28">
        <w:rPr>
          <w:lang w:val="en-US"/>
        </w:rPr>
        <w:t xml:space="preserve">  Annual anomaly of rainfall in all USA during period 1901-2015  (in inches-blue </w:t>
      </w:r>
      <w:proofErr w:type="spellStart"/>
      <w:r w:rsidR="00654B28">
        <w:rPr>
          <w:lang w:val="en-US"/>
        </w:rPr>
        <w:t>colour</w:t>
      </w:r>
      <w:proofErr w:type="spellEnd"/>
      <w:r w:rsidR="00654B28">
        <w:rPr>
          <w:lang w:val="en-US"/>
        </w:rPr>
        <w:t xml:space="preserve">) versus 2  annual rainfall in all India during period 1901-2015 of monsoon JUNE-SEPTEMBER (in mm-red  </w:t>
      </w:r>
      <w:proofErr w:type="spellStart"/>
      <w:r w:rsidR="00654B28">
        <w:rPr>
          <w:lang w:val="en-US"/>
        </w:rPr>
        <w:t>colour</w:t>
      </w:r>
      <w:proofErr w:type="spellEnd"/>
      <w:r w:rsidR="00654B28">
        <w:rPr>
          <w:lang w:val="en-US"/>
        </w:rPr>
        <w:t xml:space="preserve">)  </w:t>
      </w:r>
    </w:p>
    <w:p w:rsidR="00654B28" w:rsidRDefault="00654B28" w:rsidP="00654B28">
      <w:pPr>
        <w:rPr>
          <w:lang w:val="en-US"/>
        </w:rPr>
      </w:pPr>
      <w:r>
        <w:rPr>
          <w:lang w:val="en-US"/>
        </w:rPr>
        <w:t xml:space="preserve">Graf made by </w:t>
      </w:r>
      <w:proofErr w:type="spellStart"/>
      <w:r>
        <w:rPr>
          <w:lang w:val="en-US"/>
        </w:rPr>
        <w:t>Bogdan</w:t>
      </w:r>
      <w:proofErr w:type="spellEnd"/>
      <w:r>
        <w:rPr>
          <w:lang w:val="en-US"/>
        </w:rPr>
        <w:t xml:space="preserve"> </w:t>
      </w:r>
      <w:proofErr w:type="spellStart"/>
      <w:r>
        <w:rPr>
          <w:lang w:val="en-US"/>
        </w:rPr>
        <w:t>Góralski</w:t>
      </w:r>
      <w:proofErr w:type="spellEnd"/>
      <w:r>
        <w:rPr>
          <w:lang w:val="en-US"/>
        </w:rPr>
        <w:t xml:space="preserve"> </w:t>
      </w:r>
    </w:p>
    <w:p w:rsidR="00654B28" w:rsidRPr="007D1AF3" w:rsidRDefault="00654B28" w:rsidP="00654B28">
      <w:pPr>
        <w:rPr>
          <w:lang w:val="en-US"/>
        </w:rPr>
      </w:pPr>
      <w:r>
        <w:rPr>
          <w:lang w:val="en-US"/>
        </w:rPr>
        <w:t>Source of data: Indian Monsoon link:</w:t>
      </w:r>
      <w:r w:rsidRPr="007D1AF3">
        <w:rPr>
          <w:lang w:val="en-US"/>
        </w:rPr>
        <w:t xml:space="preserve"> https://data.gov.in/catalog/rainfall-india </w:t>
      </w:r>
    </w:p>
    <w:p w:rsidR="00654B28" w:rsidRPr="007D1AF3" w:rsidRDefault="00654B28" w:rsidP="00654B28">
      <w:pPr>
        <w:rPr>
          <w:lang w:val="en-US"/>
        </w:rPr>
      </w:pPr>
      <w:r>
        <w:rPr>
          <w:lang w:val="en-US"/>
        </w:rPr>
        <w:t xml:space="preserve">Source of data: Annual </w:t>
      </w:r>
      <w:r w:rsidRPr="007D1AF3">
        <w:rPr>
          <w:lang w:val="en-US"/>
        </w:rPr>
        <w:t xml:space="preserve"> </w:t>
      </w:r>
      <w:proofErr w:type="spellStart"/>
      <w:r>
        <w:rPr>
          <w:lang w:val="en-US"/>
        </w:rPr>
        <w:t>Annual</w:t>
      </w:r>
      <w:proofErr w:type="spellEnd"/>
      <w:r>
        <w:rPr>
          <w:lang w:val="en-US"/>
        </w:rPr>
        <w:t xml:space="preserve"> anomaly of rainfall in all USA during period 1901-2015  link:</w:t>
      </w:r>
      <w:r w:rsidRPr="0010606E">
        <w:rPr>
          <w:lang w:val="en-US"/>
        </w:rPr>
        <w:t xml:space="preserve"> https://www.epa.gov/sites/production/files/2016-08/precipitation_fig-1.csv</w:t>
      </w:r>
    </w:p>
    <w:p w:rsidR="00654B28" w:rsidRPr="00F04B6C" w:rsidRDefault="00654B28" w:rsidP="00654B28">
      <w:pPr>
        <w:rPr>
          <w:lang w:val="en-US"/>
        </w:rPr>
      </w:pPr>
      <w:r w:rsidRPr="00F04B6C">
        <w:rPr>
          <w:lang w:val="en-US"/>
        </w:rPr>
        <w:t>The resu</w:t>
      </w:r>
      <w:r>
        <w:rPr>
          <w:lang w:val="en-US"/>
        </w:rPr>
        <w:t>lt  on the  Fig.4 and we see:</w:t>
      </w:r>
    </w:p>
    <w:p w:rsidR="00654B28" w:rsidRPr="00F04B6C" w:rsidRDefault="00654B28" w:rsidP="00654B28">
      <w:pPr>
        <w:rPr>
          <w:lang w:val="en-US"/>
        </w:rPr>
      </w:pPr>
      <w:r>
        <w:rPr>
          <w:lang w:val="en-US"/>
        </w:rPr>
        <w:t>-more dry weather</w:t>
      </w:r>
      <w:r w:rsidRPr="00F04B6C">
        <w:rPr>
          <w:lang w:val="en-US"/>
        </w:rPr>
        <w:t xml:space="preserve"> in the Indian Monsoon usually  con</w:t>
      </w:r>
      <w:r>
        <w:rPr>
          <w:lang w:val="en-US"/>
        </w:rPr>
        <w:t xml:space="preserve">nected with more rain in USA and vice versa  the more wetter weather </w:t>
      </w:r>
      <w:r w:rsidRPr="00F04B6C">
        <w:rPr>
          <w:lang w:val="en-US"/>
        </w:rPr>
        <w:t>in the Indian Monsoon</w:t>
      </w:r>
      <w:r>
        <w:rPr>
          <w:lang w:val="en-US"/>
        </w:rPr>
        <w:t xml:space="preserve"> the more dry weather in USA.</w:t>
      </w:r>
    </w:p>
    <w:p w:rsidR="00654B28" w:rsidRDefault="00654B28" w:rsidP="00654B28">
      <w:pPr>
        <w:rPr>
          <w:lang w:val="en-US"/>
        </w:rPr>
      </w:pPr>
      <w:r>
        <w:rPr>
          <w:lang w:val="en-US"/>
        </w:rPr>
        <w:t xml:space="preserve">Explanation of these processes you can find in my </w:t>
      </w:r>
      <w:proofErr w:type="spellStart"/>
      <w:r>
        <w:rPr>
          <w:lang w:val="en-US"/>
        </w:rPr>
        <w:t>articels</w:t>
      </w:r>
      <w:proofErr w:type="spellEnd"/>
      <w:r>
        <w:rPr>
          <w:lang w:val="en-US"/>
        </w:rPr>
        <w:t xml:space="preserve"> and book on the </w:t>
      </w:r>
      <w:proofErr w:type="spellStart"/>
      <w:r>
        <w:rPr>
          <w:lang w:val="en-US"/>
        </w:rPr>
        <w:t>Researchgate</w:t>
      </w:r>
      <w:proofErr w:type="spellEnd"/>
      <w:r>
        <w:rPr>
          <w:lang w:val="en-US"/>
        </w:rPr>
        <w:t xml:space="preserve"> portal. </w:t>
      </w:r>
    </w:p>
    <w:p w:rsidR="00654B28" w:rsidRDefault="00654B28">
      <w:pPr>
        <w:rPr>
          <w:lang w:val="en-US"/>
        </w:rPr>
      </w:pPr>
    </w:p>
    <w:p w:rsidR="007513B0" w:rsidRDefault="007513B0">
      <w:pPr>
        <w:rPr>
          <w:lang w:val="en-US"/>
        </w:rPr>
      </w:pPr>
    </w:p>
    <w:p w:rsidR="007513B0" w:rsidRDefault="007513B0">
      <w:r w:rsidRPr="00CB2BDE">
        <w:object w:dxaOrig="8866" w:dyaOrig="7769">
          <v:shape id="_x0000_i1027" type="#_x0000_t75" style="width:443.25pt;height:388.5pt" o:ole="">
            <v:imagedata r:id="rId11" o:title=""/>
          </v:shape>
          <o:OLEObject Type="Embed" ProgID="PBrush" ShapeID="_x0000_i1027" DrawAspect="Content" ObjectID="_1595566294" r:id="rId12"/>
        </w:object>
      </w:r>
    </w:p>
    <w:p w:rsidR="007513B0" w:rsidRDefault="007513B0"/>
    <w:p w:rsidR="007513B0" w:rsidRPr="00CB2BDE" w:rsidRDefault="00310E55" w:rsidP="007513B0">
      <w:pPr>
        <w:pStyle w:val="NormalnyWeb"/>
        <w:rPr>
          <w:i/>
          <w:iCs/>
          <w:lang w:val="en-US"/>
        </w:rPr>
      </w:pPr>
      <w:r>
        <w:rPr>
          <w:i/>
          <w:iCs/>
          <w:lang w:val="en-US"/>
        </w:rPr>
        <w:t>FIG. 4</w:t>
      </w:r>
      <w:r w:rsidR="007513B0" w:rsidRPr="00CB2BDE">
        <w:rPr>
          <w:i/>
          <w:iCs/>
          <w:lang w:val="en-US"/>
        </w:rPr>
        <w:t xml:space="preserve">. Smoothed 2-year running variance v, of yearly rainfall totals (mm) derived from observations of 14 German stations by </w:t>
      </w:r>
      <w:proofErr w:type="spellStart"/>
      <w:r w:rsidR="007513B0" w:rsidRPr="00CB2BDE">
        <w:rPr>
          <w:i/>
          <w:iCs/>
          <w:lang w:val="en-US"/>
        </w:rPr>
        <w:t>Baur</w:t>
      </w:r>
      <w:proofErr w:type="spellEnd"/>
      <w:r w:rsidR="007513B0" w:rsidRPr="00CB2BDE">
        <w:rPr>
          <w:i/>
          <w:iCs/>
          <w:lang w:val="en-US"/>
        </w:rPr>
        <w:t xml:space="preserve">, for the period 1851-1983. Arrows mark epochs of minima in the 9-year running variance v of the sun's orbital angular momentum. Open circles designate respective maxima in v. The significant correlation between these solar and </w:t>
      </w:r>
      <w:r w:rsidR="007513B0" w:rsidRPr="00CB2BDE">
        <w:rPr>
          <w:i/>
          <w:iCs/>
          <w:lang w:val="en-US"/>
        </w:rPr>
        <w:lastRenderedPageBreak/>
        <w:t>terrestrial data is corroborated by rainfall observations from England, Wales, eastern U.S., and India.</w:t>
      </w:r>
    </w:p>
    <w:p w:rsidR="007513B0" w:rsidRPr="00CB2BDE" w:rsidRDefault="007513B0" w:rsidP="007513B0">
      <w:pPr>
        <w:pStyle w:val="Nagwek3"/>
        <w:rPr>
          <w:lang w:val="en-US"/>
        </w:rPr>
      </w:pPr>
      <w:r w:rsidRPr="00CB2BDE">
        <w:rPr>
          <w:rStyle w:val="hps"/>
          <w:lang w:val="en-US"/>
        </w:rPr>
        <w:t xml:space="preserve">Source of Figure 6.: </w:t>
      </w:r>
      <w:proofErr w:type="spellStart"/>
      <w:r w:rsidRPr="00CB2BDE">
        <w:rPr>
          <w:rStyle w:val="hps"/>
          <w:lang w:val="en-US"/>
        </w:rPr>
        <w:t>Landscheid</w:t>
      </w:r>
      <w:proofErr w:type="spellEnd"/>
      <w:r w:rsidRPr="00CB2BDE">
        <w:rPr>
          <w:rStyle w:val="hps"/>
          <w:lang w:val="en-US"/>
        </w:rPr>
        <w:t xml:space="preserve"> T.,1990, </w:t>
      </w:r>
      <w:r w:rsidRPr="00CB2BDE">
        <w:rPr>
          <w:lang w:val="en-US"/>
        </w:rPr>
        <w:t>Relationship Between Rainfall in the Northern Hemisphere and Impulses of the Torque in the Sun's Motion,</w:t>
      </w:r>
    </w:p>
    <w:p w:rsidR="007513B0" w:rsidRPr="00CB2BDE" w:rsidRDefault="005B0B92" w:rsidP="007513B0">
      <w:pPr>
        <w:pStyle w:val="Nagwek3"/>
        <w:rPr>
          <w:lang w:val="en-US"/>
        </w:rPr>
      </w:pPr>
      <w:hyperlink r:id="rId13" w:history="1">
        <w:r w:rsidR="007513B0" w:rsidRPr="00CB2BDE">
          <w:rPr>
            <w:rStyle w:val="Hipercze"/>
            <w:lang w:val="en-US"/>
          </w:rPr>
          <w:t>http://bourabai.narod.ru/landscheidt/relationship.htm</w:t>
        </w:r>
      </w:hyperlink>
      <w:r w:rsidR="007513B0" w:rsidRPr="00CB2BDE">
        <w:rPr>
          <w:rStyle w:val="hps"/>
          <w:lang w:val="en-US"/>
        </w:rPr>
        <w:t xml:space="preserve"> </w:t>
      </w:r>
    </w:p>
    <w:p w:rsidR="007513B0" w:rsidRDefault="007513B0">
      <w:pPr>
        <w:rPr>
          <w:lang w:val="en-US"/>
        </w:rPr>
      </w:pPr>
    </w:p>
    <w:p w:rsidR="007A1A0D" w:rsidRDefault="007A1A0D">
      <w:pPr>
        <w:rPr>
          <w:lang w:val="en-US"/>
        </w:rPr>
      </w:pPr>
      <w:r>
        <w:rPr>
          <w:noProof/>
        </w:rPr>
        <w:drawing>
          <wp:inline distT="0" distB="0" distL="0" distR="0">
            <wp:extent cx="5760720" cy="3840480"/>
            <wp:effectExtent l="19050" t="0" r="0" b="0"/>
            <wp:docPr id="10" name="Obraz 10" descr="Anglo-American Wheat Trade, Volume and Price (1800-2000) – O'Rourke &amp; Williamson (2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glo-American Wheat Trade, Volume and Price (1800-2000) – O'Rourke &amp; Williamson (2005)0"/>
                    <pic:cNvPicPr>
                      <a:picLocks noChangeAspect="1" noChangeArrowheads="1"/>
                    </pic:cNvPicPr>
                  </pic:nvPicPr>
                  <pic:blipFill>
                    <a:blip r:embed="rId14"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AA099F" w:rsidRDefault="00AA099F">
      <w:pPr>
        <w:rPr>
          <w:rFonts w:ascii="Helvetica" w:hAnsi="Helvetica" w:cs="Helvetica"/>
          <w:i/>
          <w:iCs/>
          <w:color w:val="000000"/>
          <w:sz w:val="23"/>
          <w:szCs w:val="23"/>
          <w:shd w:val="clear" w:color="auto" w:fill="FFFFFF"/>
          <w:lang w:val="en-US"/>
        </w:rPr>
      </w:pPr>
    </w:p>
    <w:p w:rsidR="007A1A0D" w:rsidRPr="007A1A0D" w:rsidRDefault="00310E55">
      <w:pPr>
        <w:rPr>
          <w:lang w:val="en-US"/>
        </w:rPr>
      </w:pPr>
      <w:r>
        <w:rPr>
          <w:rFonts w:ascii="Helvetica" w:hAnsi="Helvetica" w:cs="Helvetica"/>
          <w:i/>
          <w:iCs/>
          <w:color w:val="000000"/>
          <w:sz w:val="23"/>
          <w:szCs w:val="23"/>
          <w:shd w:val="clear" w:color="auto" w:fill="FFFFFF"/>
          <w:lang w:val="en-US"/>
        </w:rPr>
        <w:t>Fig.5</w:t>
      </w:r>
      <w:r w:rsidR="00AA099F">
        <w:rPr>
          <w:rFonts w:ascii="Helvetica" w:hAnsi="Helvetica" w:cs="Helvetica"/>
          <w:i/>
          <w:iCs/>
          <w:color w:val="000000"/>
          <w:sz w:val="23"/>
          <w:szCs w:val="23"/>
          <w:shd w:val="clear" w:color="auto" w:fill="FFFFFF"/>
          <w:lang w:val="en-US"/>
        </w:rPr>
        <w:t xml:space="preserve">. </w:t>
      </w:r>
      <w:r w:rsidR="007A1A0D" w:rsidRPr="007A1A0D">
        <w:rPr>
          <w:rFonts w:ascii="Helvetica" w:hAnsi="Helvetica" w:cs="Helvetica"/>
          <w:i/>
          <w:iCs/>
          <w:color w:val="000000"/>
          <w:sz w:val="23"/>
          <w:szCs w:val="23"/>
          <w:shd w:val="clear" w:color="auto" w:fill="FFFFFF"/>
          <w:lang w:val="en-US"/>
        </w:rPr>
        <w:t>Anglo-American wheat Trade, volume and price, 1800-2000 – O’Rourke &amp; Williamson (2</w:t>
      </w:r>
      <w:r w:rsidR="007A1A0D">
        <w:rPr>
          <w:rFonts w:ascii="Helvetica" w:hAnsi="Helvetica" w:cs="Helvetica"/>
          <w:i/>
          <w:iCs/>
          <w:color w:val="000000"/>
          <w:sz w:val="23"/>
          <w:szCs w:val="23"/>
          <w:shd w:val="clear" w:color="auto" w:fill="FFFFFF"/>
          <w:lang w:val="en-US"/>
        </w:rPr>
        <w:t>015) note 15</w:t>
      </w:r>
    </w:p>
    <w:p w:rsidR="007A1A0D" w:rsidRDefault="007A1A0D">
      <w:pPr>
        <w:rPr>
          <w:lang w:val="en-US"/>
        </w:rPr>
      </w:pPr>
    </w:p>
    <w:p w:rsidR="007A1A0D" w:rsidRDefault="007A1A0D">
      <w:pPr>
        <w:rPr>
          <w:lang w:val="en-US"/>
        </w:rPr>
      </w:pPr>
      <w:r>
        <w:rPr>
          <w:lang w:val="en-US"/>
        </w:rPr>
        <w:t>Source of image:</w:t>
      </w:r>
    </w:p>
    <w:p w:rsidR="007A1A0D" w:rsidRDefault="007A1A0D">
      <w:pPr>
        <w:rPr>
          <w:lang w:val="en-US"/>
        </w:rPr>
      </w:pPr>
    </w:p>
    <w:p w:rsidR="007A1A0D" w:rsidRDefault="007A1A0D">
      <w:pPr>
        <w:rPr>
          <w:lang w:val="en-US"/>
        </w:rPr>
      </w:pPr>
      <w:r w:rsidRPr="007A1A0D">
        <w:rPr>
          <w:lang w:val="en-US"/>
        </w:rPr>
        <w:t>https://ourworldindata.org/food-prices/#note-15</w:t>
      </w:r>
    </w:p>
    <w:p w:rsidR="0035027B" w:rsidRDefault="0035027B">
      <w:pPr>
        <w:rPr>
          <w:lang w:val="en-US"/>
        </w:rPr>
      </w:pPr>
    </w:p>
    <w:p w:rsidR="00F50070" w:rsidRDefault="00F50070" w:rsidP="00F50070">
      <w:pPr>
        <w:spacing w:line="360" w:lineRule="auto"/>
        <w:jc w:val="both"/>
      </w:pPr>
      <w:r>
        <w:rPr>
          <w:noProof/>
        </w:rPr>
        <w:lastRenderedPageBreak/>
        <w:drawing>
          <wp:inline distT="0" distB="0" distL="0" distR="0">
            <wp:extent cx="3886200" cy="5210175"/>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886200" cy="5210175"/>
                    </a:xfrm>
                    <a:prstGeom prst="rect">
                      <a:avLst/>
                    </a:prstGeom>
                    <a:solidFill>
                      <a:srgbClr val="FFFFFF"/>
                    </a:solidFill>
                    <a:ln w="9525">
                      <a:noFill/>
                      <a:miter lim="800000"/>
                      <a:headEnd/>
                      <a:tailEnd/>
                    </a:ln>
                  </pic:spPr>
                </pic:pic>
              </a:graphicData>
            </a:graphic>
          </wp:inline>
        </w:drawing>
      </w:r>
    </w:p>
    <w:p w:rsidR="00F50070" w:rsidRDefault="00310E55" w:rsidP="00F50070">
      <w:pPr>
        <w:spacing w:line="360" w:lineRule="auto"/>
        <w:jc w:val="both"/>
        <w:rPr>
          <w:lang w:val="en-US"/>
        </w:rPr>
      </w:pPr>
      <w:r>
        <w:rPr>
          <w:lang w:val="en-US"/>
        </w:rPr>
        <w:t>Fig. 6</w:t>
      </w:r>
      <w:r w:rsidR="00F50070" w:rsidRPr="0046386F">
        <w:rPr>
          <w:lang w:val="en-US"/>
        </w:rPr>
        <w:t>. Rainfall indicators for Europe, the USA, Russia, North Africa, the Middle East and Southeast Asia in the years 1850-1980</w:t>
      </w:r>
    </w:p>
    <w:p w:rsidR="00F50070" w:rsidRDefault="00F50070" w:rsidP="00F50070">
      <w:pPr>
        <w:spacing w:line="360" w:lineRule="auto"/>
        <w:jc w:val="both"/>
        <w:rPr>
          <w:lang w:val="en-US"/>
        </w:rPr>
      </w:pPr>
    </w:p>
    <w:p w:rsidR="00F50070" w:rsidRPr="004226B8" w:rsidRDefault="00F50070" w:rsidP="00F50070">
      <w:pPr>
        <w:spacing w:line="360" w:lineRule="auto"/>
        <w:jc w:val="both"/>
        <w:rPr>
          <w:lang w:val="en-US"/>
        </w:rPr>
      </w:pPr>
      <w:r>
        <w:rPr>
          <w:lang w:val="en-US"/>
        </w:rPr>
        <w:t>The above drawing</w:t>
      </w:r>
      <w:r w:rsidRPr="004226B8">
        <w:rPr>
          <w:lang w:val="en-US"/>
        </w:rPr>
        <w:t xml:space="preserve"> come from the following work done by renowned climatologists based on reliable research material:</w:t>
      </w:r>
    </w:p>
    <w:p w:rsidR="00F50070" w:rsidRPr="004226B8" w:rsidRDefault="00F50070" w:rsidP="00F50070">
      <w:pPr>
        <w:spacing w:line="360" w:lineRule="auto"/>
        <w:jc w:val="both"/>
        <w:rPr>
          <w:lang w:val="en-US"/>
        </w:rPr>
      </w:pPr>
      <w:r w:rsidRPr="004226B8">
        <w:rPr>
          <w:lang w:val="en-US"/>
        </w:rPr>
        <w:t>Precipitation fluctuations over the Northern Hemisphere land area Since Mid-19th Century</w:t>
      </w:r>
    </w:p>
    <w:p w:rsidR="00F50070" w:rsidRPr="004226B8" w:rsidRDefault="00F50070" w:rsidP="00F50070">
      <w:pPr>
        <w:spacing w:line="360" w:lineRule="auto"/>
        <w:jc w:val="both"/>
        <w:rPr>
          <w:lang w:val="en-US"/>
        </w:rPr>
      </w:pPr>
      <w:proofErr w:type="spellStart"/>
      <w:r w:rsidRPr="004226B8">
        <w:rPr>
          <w:lang w:val="en-US"/>
        </w:rPr>
        <w:t>R.S.Bradley</w:t>
      </w:r>
      <w:proofErr w:type="spellEnd"/>
      <w:r w:rsidRPr="004226B8">
        <w:rPr>
          <w:lang w:val="en-US"/>
        </w:rPr>
        <w:t xml:space="preserve">, </w:t>
      </w:r>
      <w:proofErr w:type="spellStart"/>
      <w:r w:rsidRPr="004226B8">
        <w:rPr>
          <w:lang w:val="en-US"/>
        </w:rPr>
        <w:t>H.F.Diaz</w:t>
      </w:r>
      <w:proofErr w:type="spellEnd"/>
      <w:r w:rsidRPr="004226B8">
        <w:rPr>
          <w:lang w:val="en-US"/>
        </w:rPr>
        <w:t xml:space="preserve">, J.K. </w:t>
      </w:r>
      <w:proofErr w:type="spellStart"/>
      <w:r w:rsidRPr="004226B8">
        <w:rPr>
          <w:lang w:val="en-US"/>
        </w:rPr>
        <w:t>Eischeid</w:t>
      </w:r>
      <w:proofErr w:type="spellEnd"/>
      <w:r w:rsidRPr="004226B8">
        <w:rPr>
          <w:lang w:val="en-US"/>
        </w:rPr>
        <w:t xml:space="preserve">, P. D. Jones, </w:t>
      </w:r>
      <w:proofErr w:type="spellStart"/>
      <w:r w:rsidRPr="004226B8">
        <w:rPr>
          <w:lang w:val="en-US"/>
        </w:rPr>
        <w:t>P.M.Kelly</w:t>
      </w:r>
      <w:proofErr w:type="spellEnd"/>
      <w:r w:rsidRPr="004226B8">
        <w:rPr>
          <w:lang w:val="en-US"/>
        </w:rPr>
        <w:t xml:space="preserve">, C.M. </w:t>
      </w:r>
      <w:proofErr w:type="spellStart"/>
      <w:r w:rsidRPr="004226B8">
        <w:rPr>
          <w:lang w:val="en-US"/>
        </w:rPr>
        <w:t>goodes</w:t>
      </w:r>
      <w:proofErr w:type="spellEnd"/>
    </w:p>
    <w:p w:rsidR="00F50070" w:rsidRPr="004226B8" w:rsidRDefault="00F50070" w:rsidP="00F50070">
      <w:pPr>
        <w:spacing w:line="360" w:lineRule="auto"/>
        <w:jc w:val="both"/>
        <w:rPr>
          <w:lang w:val="en-US"/>
        </w:rPr>
      </w:pPr>
      <w:r w:rsidRPr="004226B8">
        <w:rPr>
          <w:lang w:val="en-US"/>
        </w:rPr>
        <w:t>http://www.geo.umass.edu/faculty/bradley/bradley1987c.pdf</w:t>
      </w:r>
    </w:p>
    <w:p w:rsidR="00F50070" w:rsidRDefault="00F50070" w:rsidP="00F50070">
      <w:pPr>
        <w:spacing w:line="360" w:lineRule="auto"/>
        <w:jc w:val="both"/>
        <w:rPr>
          <w:lang w:val="en-US"/>
        </w:rPr>
      </w:pPr>
      <w:r w:rsidRPr="004226B8">
        <w:rPr>
          <w:lang w:val="en-US"/>
        </w:rPr>
        <w:t>Science, vol.237 p. 171-175 July 10, 1987.</w:t>
      </w:r>
    </w:p>
    <w:p w:rsidR="00F50070" w:rsidRDefault="00F50070" w:rsidP="00F50070">
      <w:pPr>
        <w:spacing w:line="360" w:lineRule="auto"/>
        <w:jc w:val="both"/>
        <w:rPr>
          <w:lang w:val="en-US"/>
        </w:rPr>
      </w:pPr>
    </w:p>
    <w:p w:rsidR="0020144C" w:rsidRPr="0020144C" w:rsidRDefault="0020144C" w:rsidP="0020144C">
      <w:pPr>
        <w:shd w:val="clear" w:color="auto" w:fill="FFFFFF"/>
        <w:rPr>
          <w:rFonts w:ascii="Arial" w:hAnsi="Arial" w:cs="Arial"/>
          <w:color w:val="111111"/>
          <w:sz w:val="21"/>
          <w:szCs w:val="21"/>
          <w:lang w:val="en-US"/>
        </w:rPr>
      </w:pPr>
      <w:r w:rsidRPr="0020144C">
        <w:rPr>
          <w:rFonts w:ascii="Arial" w:hAnsi="Arial" w:cs="Arial"/>
          <w:b/>
          <w:bCs/>
          <w:color w:val="111111"/>
          <w:sz w:val="21"/>
          <w:szCs w:val="21"/>
          <w:lang w:val="en-US"/>
        </w:rPr>
        <w:t xml:space="preserve">Regional drought shifts (1710–2010) in East Central Asia and linkages with atmospheric circulation recorded in tree-ring </w:t>
      </w:r>
      <w:r>
        <w:rPr>
          <w:rFonts w:ascii="Arial" w:hAnsi="Arial" w:cs="Arial"/>
          <w:b/>
          <w:bCs/>
          <w:color w:val="111111"/>
          <w:sz w:val="21"/>
          <w:szCs w:val="21"/>
        </w:rPr>
        <w:t>δ</w:t>
      </w:r>
      <w:r w:rsidRPr="0020144C">
        <w:rPr>
          <w:rFonts w:ascii="Arial" w:hAnsi="Arial" w:cs="Arial"/>
          <w:b/>
          <w:bCs/>
          <w:color w:val="111111"/>
          <w:sz w:val="21"/>
          <w:szCs w:val="21"/>
          <w:lang w:val="en-US"/>
        </w:rPr>
        <w:t>18O</w:t>
      </w:r>
    </w:p>
    <w:p w:rsidR="0020144C" w:rsidRPr="0020144C" w:rsidRDefault="0020144C" w:rsidP="0020144C">
      <w:pPr>
        <w:shd w:val="clear" w:color="auto" w:fill="FFFFFF"/>
        <w:rPr>
          <w:rFonts w:ascii="Arial" w:hAnsi="Arial" w:cs="Arial"/>
          <w:color w:val="111111"/>
          <w:sz w:val="21"/>
          <w:szCs w:val="21"/>
          <w:lang w:val="en-US"/>
        </w:rPr>
      </w:pPr>
      <w:r w:rsidRPr="0020144C">
        <w:rPr>
          <w:rStyle w:val="publication-type-badge"/>
          <w:rFonts w:ascii="Arial" w:hAnsi="Arial" w:cs="Arial"/>
          <w:color w:val="007478"/>
          <w:sz w:val="21"/>
          <w:szCs w:val="21"/>
          <w:shd w:val="clear" w:color="auto" w:fill="C5E8E5"/>
          <w:lang w:val="en-US"/>
        </w:rPr>
        <w:t>Article</w:t>
      </w:r>
      <w:r w:rsidRPr="0020144C">
        <w:rPr>
          <w:rFonts w:ascii="Arial" w:hAnsi="Arial" w:cs="Arial"/>
          <w:color w:val="111111"/>
          <w:sz w:val="21"/>
          <w:szCs w:val="21"/>
          <w:lang w:val="en-US"/>
        </w:rPr>
        <w:t> </w:t>
      </w:r>
      <w:hyperlink r:id="rId16" w:history="1">
        <w:r w:rsidRPr="0020144C">
          <w:rPr>
            <w:rStyle w:val="Hipercze"/>
            <w:rFonts w:ascii="inherit" w:hAnsi="inherit" w:cs="Arial"/>
            <w:sz w:val="21"/>
            <w:szCs w:val="21"/>
            <w:bdr w:val="none" w:sz="0" w:space="0" w:color="auto" w:frame="1"/>
            <w:lang w:val="en-US"/>
          </w:rPr>
          <w:t>Regional drought shifts (1710–2010) in East Central Asia and...</w:t>
        </w:r>
      </w:hyperlink>
    </w:p>
    <w:p w:rsidR="0020144C" w:rsidRPr="0020144C" w:rsidRDefault="0020144C" w:rsidP="0020144C">
      <w:pPr>
        <w:shd w:val="clear" w:color="auto" w:fill="FFFFFF"/>
        <w:rPr>
          <w:rFonts w:ascii="Arial" w:hAnsi="Arial" w:cs="Arial"/>
          <w:color w:val="111111"/>
          <w:sz w:val="21"/>
          <w:szCs w:val="21"/>
          <w:lang w:val="en-US"/>
        </w:rPr>
      </w:pPr>
      <w:r w:rsidRPr="0020144C">
        <w:rPr>
          <w:rFonts w:ascii="Arial" w:hAnsi="Arial" w:cs="Arial"/>
          <w:color w:val="111111"/>
          <w:sz w:val="21"/>
          <w:szCs w:val="21"/>
          <w:lang w:val="en-US"/>
        </w:rPr>
        <w:t xml:space="preserve">Drought occurrence and duration in central Asia are of important socioeconomic, ecological, and geophysical significance and have received increasing research attention in recent years. Understanding long-term drought trends and their driving forces require reliable records of past </w:t>
      </w:r>
      <w:r w:rsidRPr="0020144C">
        <w:rPr>
          <w:rFonts w:ascii="Arial" w:hAnsi="Arial" w:cs="Arial"/>
          <w:color w:val="111111"/>
          <w:sz w:val="21"/>
          <w:szCs w:val="21"/>
          <w:lang w:val="en-US"/>
        </w:rPr>
        <w:lastRenderedPageBreak/>
        <w:t xml:space="preserve">drought variability with broad spatial representativeness. Here, we compiled four tree-ring </w:t>
      </w:r>
      <w:r>
        <w:rPr>
          <w:rFonts w:ascii="Arial" w:hAnsi="Arial" w:cs="Arial"/>
          <w:color w:val="111111"/>
          <w:sz w:val="21"/>
          <w:szCs w:val="21"/>
        </w:rPr>
        <w:t>δ</w:t>
      </w:r>
      <w:r w:rsidRPr="0020144C">
        <w:rPr>
          <w:rFonts w:ascii="Arial" w:hAnsi="Arial" w:cs="Arial"/>
          <w:color w:val="111111"/>
          <w:sz w:val="21"/>
          <w:szCs w:val="21"/>
          <w:lang w:val="en-US"/>
        </w:rPr>
        <w:t>¹</w:t>
      </w:r>
      <w:r w:rsidRPr="0020144C">
        <w:rPr>
          <w:rFonts w:ascii="Cambria Math" w:hAnsi="Cambria Math" w:cs="Cambria Math"/>
          <w:color w:val="111111"/>
          <w:sz w:val="21"/>
          <w:szCs w:val="21"/>
          <w:lang w:val="en-US"/>
        </w:rPr>
        <w:t>⁸</w:t>
      </w:r>
      <w:r w:rsidRPr="0020144C">
        <w:rPr>
          <w:rFonts w:ascii="Arial" w:hAnsi="Arial" w:cs="Arial"/>
          <w:color w:val="111111"/>
          <w:sz w:val="21"/>
          <w:szCs w:val="21"/>
          <w:lang w:val="en-US"/>
        </w:rPr>
        <w:t>O records from eastern central Asia (ECA) and composited them into a drought-sensitive proxy to explore regional ECA moisture variations over the past 301 years (1710–2010 CE). A robust regional standardized precipitation-</w:t>
      </w:r>
      <w:proofErr w:type="spellStart"/>
      <w:r w:rsidRPr="0020144C">
        <w:rPr>
          <w:rFonts w:ascii="Arial" w:hAnsi="Arial" w:cs="Arial"/>
          <w:color w:val="111111"/>
          <w:sz w:val="21"/>
          <w:szCs w:val="21"/>
          <w:lang w:val="en-US"/>
        </w:rPr>
        <w:t>evapotranspiration</w:t>
      </w:r>
      <w:proofErr w:type="spellEnd"/>
      <w:r w:rsidRPr="0020144C">
        <w:rPr>
          <w:rFonts w:ascii="Arial" w:hAnsi="Arial" w:cs="Arial"/>
          <w:color w:val="111111"/>
          <w:sz w:val="21"/>
          <w:szCs w:val="21"/>
          <w:lang w:val="en-US"/>
        </w:rPr>
        <w:t xml:space="preserve"> index (SPEI) reconstruction was established based on the tree-ring cellulose </w:t>
      </w:r>
      <w:r>
        <w:rPr>
          <w:rFonts w:ascii="Arial" w:hAnsi="Arial" w:cs="Arial"/>
          <w:color w:val="111111"/>
          <w:sz w:val="21"/>
          <w:szCs w:val="21"/>
        </w:rPr>
        <w:t>δ</w:t>
      </w:r>
      <w:r w:rsidRPr="0020144C">
        <w:rPr>
          <w:rFonts w:ascii="Arial" w:hAnsi="Arial" w:cs="Arial"/>
          <w:color w:val="111111"/>
          <w:sz w:val="21"/>
          <w:szCs w:val="21"/>
          <w:lang w:val="en-US"/>
        </w:rPr>
        <w:t>¹</w:t>
      </w:r>
      <w:r w:rsidRPr="0020144C">
        <w:rPr>
          <w:rFonts w:ascii="Cambria Math" w:hAnsi="Cambria Math" w:cs="Cambria Math"/>
          <w:color w:val="111111"/>
          <w:sz w:val="21"/>
          <w:szCs w:val="21"/>
          <w:lang w:val="en-US"/>
        </w:rPr>
        <w:t>⁸</w:t>
      </w:r>
      <w:r w:rsidRPr="0020144C">
        <w:rPr>
          <w:rFonts w:ascii="Arial" w:hAnsi="Arial" w:cs="Arial"/>
          <w:color w:val="111111"/>
          <w:sz w:val="21"/>
          <w:szCs w:val="21"/>
          <w:lang w:val="en-US"/>
        </w:rPr>
        <w:t xml:space="preserve">O fractionation mechanism and statistically significant proxy-climate relationships. We identified prominent droughts in 1710–1770, 1810–1830, and the beginning of the twenty-first century, and a regime shift to a persistently wet period from the 1880s to 2000. Our reconstruction reveals the impact of drought and pluvial patterns on the decline of </w:t>
      </w:r>
      <w:proofErr w:type="spellStart"/>
      <w:r w:rsidRPr="0020144C">
        <w:rPr>
          <w:rFonts w:ascii="Arial" w:hAnsi="Arial" w:cs="Arial"/>
          <w:color w:val="111111"/>
          <w:sz w:val="21"/>
          <w:szCs w:val="21"/>
          <w:lang w:val="en-US"/>
        </w:rPr>
        <w:t>Zhungar</w:t>
      </w:r>
      <w:proofErr w:type="spellEnd"/>
      <w:r w:rsidRPr="0020144C">
        <w:rPr>
          <w:rFonts w:ascii="Arial" w:hAnsi="Arial" w:cs="Arial"/>
          <w:color w:val="111111"/>
          <w:sz w:val="21"/>
          <w:szCs w:val="21"/>
          <w:lang w:val="en-US"/>
        </w:rPr>
        <w:t xml:space="preserve"> Empire, and on historical agricultural and socio-economical activities, including increased migration into ECA during the 1770–1800 pluvial. Our findings also suggest that wet conditions in the twentieth century in ECA were related to a strengthening of the westerly circulation and thus shed light on large-scale atmospheric circulation dynamics in central Asia.</w:t>
      </w:r>
    </w:p>
    <w:p w:rsidR="00F50070" w:rsidRDefault="00F50070">
      <w:pPr>
        <w:rPr>
          <w:lang w:val="en-US"/>
        </w:rPr>
      </w:pPr>
    </w:p>
    <w:p w:rsidR="0020144C" w:rsidRDefault="0020144C">
      <w:pPr>
        <w:rPr>
          <w:lang w:val="en-US"/>
        </w:rPr>
      </w:pPr>
    </w:p>
    <w:p w:rsidR="0035027B" w:rsidRDefault="0035027B">
      <w:pPr>
        <w:rPr>
          <w:lang w:val="en-US"/>
        </w:rPr>
      </w:pPr>
      <w:r>
        <w:rPr>
          <w:noProof/>
        </w:rPr>
        <w:drawing>
          <wp:inline distT="0" distB="0" distL="0" distR="0">
            <wp:extent cx="5760720" cy="4367456"/>
            <wp:effectExtent l="19050" t="0" r="0" b="0"/>
            <wp:docPr id="13" name="Obraz 13" descr="Znalezione obrazy dla zapytania Global precipitation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Global precipitation distribution"/>
                    <pic:cNvPicPr>
                      <a:picLocks noChangeAspect="1" noChangeArrowheads="1"/>
                    </pic:cNvPicPr>
                  </pic:nvPicPr>
                  <pic:blipFill>
                    <a:blip r:embed="rId17" cstate="print"/>
                    <a:srcRect/>
                    <a:stretch>
                      <a:fillRect/>
                    </a:stretch>
                  </pic:blipFill>
                  <pic:spPr bwMode="auto">
                    <a:xfrm>
                      <a:off x="0" y="0"/>
                      <a:ext cx="5760720" cy="4367456"/>
                    </a:xfrm>
                    <a:prstGeom prst="rect">
                      <a:avLst/>
                    </a:prstGeom>
                    <a:noFill/>
                    <a:ln w="9525">
                      <a:noFill/>
                      <a:miter lim="800000"/>
                      <a:headEnd/>
                      <a:tailEnd/>
                    </a:ln>
                  </pic:spPr>
                </pic:pic>
              </a:graphicData>
            </a:graphic>
          </wp:inline>
        </w:drawing>
      </w:r>
    </w:p>
    <w:p w:rsidR="0035027B" w:rsidRDefault="0035027B">
      <w:pPr>
        <w:rPr>
          <w:lang w:val="en-US"/>
        </w:rPr>
      </w:pPr>
    </w:p>
    <w:p w:rsidR="0035027B" w:rsidRDefault="0035027B">
      <w:pPr>
        <w:rPr>
          <w:lang w:val="en-US"/>
        </w:rPr>
      </w:pPr>
      <w:r w:rsidRPr="0035027B">
        <w:rPr>
          <w:lang w:val="en-US"/>
        </w:rPr>
        <w:t>http://apollo.lsc.vsc.edu/classes/met130/notes/chapter17/glob_prec_w.html</w:t>
      </w:r>
    </w:p>
    <w:p w:rsidR="00D22402" w:rsidRDefault="00D22402">
      <w:pPr>
        <w:rPr>
          <w:lang w:val="en-US"/>
        </w:rPr>
      </w:pPr>
    </w:p>
    <w:p w:rsidR="00D22402" w:rsidRDefault="00D22402">
      <w:pPr>
        <w:rPr>
          <w:lang w:val="en-US"/>
        </w:rPr>
      </w:pPr>
      <w:r>
        <w:rPr>
          <w:noProof/>
        </w:rPr>
        <w:lastRenderedPageBreak/>
        <w:drawing>
          <wp:inline distT="0" distB="0" distL="0" distR="0">
            <wp:extent cx="2505075" cy="2800350"/>
            <wp:effectExtent l="19050" t="0" r="9525" b="0"/>
            <wp:docPr id="16" name="Obraz 16" descr="http://www.geographynotes.com/wp-content/uploads/2014/10/clip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eographynotes.com/wp-content/uploads/2014/10/clip_image003.jpg"/>
                    <pic:cNvPicPr>
                      <a:picLocks noChangeAspect="1" noChangeArrowheads="1"/>
                    </pic:cNvPicPr>
                  </pic:nvPicPr>
                  <pic:blipFill>
                    <a:blip r:embed="rId18" cstate="print"/>
                    <a:srcRect/>
                    <a:stretch>
                      <a:fillRect/>
                    </a:stretch>
                  </pic:blipFill>
                  <pic:spPr bwMode="auto">
                    <a:xfrm>
                      <a:off x="0" y="0"/>
                      <a:ext cx="2505075" cy="2800350"/>
                    </a:xfrm>
                    <a:prstGeom prst="rect">
                      <a:avLst/>
                    </a:prstGeom>
                    <a:noFill/>
                    <a:ln w="9525">
                      <a:noFill/>
                      <a:miter lim="800000"/>
                      <a:headEnd/>
                      <a:tailEnd/>
                    </a:ln>
                  </pic:spPr>
                </pic:pic>
              </a:graphicData>
            </a:graphic>
          </wp:inline>
        </w:drawing>
      </w:r>
      <w:r w:rsidRPr="00D22402">
        <w:rPr>
          <w:lang w:val="en-US"/>
        </w:rPr>
        <w:t xml:space="preserve"> http://www.geographynotes.com/atmosphere/atmospheric-pressure-measurement-distribution-and-controlling-factors/854</w:t>
      </w:r>
    </w:p>
    <w:p w:rsidR="00D22402" w:rsidRPr="00D22402" w:rsidRDefault="00D22402" w:rsidP="00D22402">
      <w:pPr>
        <w:pStyle w:val="Nagwek1"/>
        <w:spacing w:before="0" w:after="120" w:line="264" w:lineRule="atLeast"/>
        <w:textAlignment w:val="baseline"/>
        <w:rPr>
          <w:rFonts w:ascii="Georgia" w:hAnsi="Georgia"/>
          <w:color w:val="000000"/>
          <w:sz w:val="54"/>
          <w:szCs w:val="54"/>
          <w:lang w:val="en-US"/>
        </w:rPr>
      </w:pPr>
      <w:r w:rsidRPr="00D22402">
        <w:rPr>
          <w:rFonts w:ascii="Georgia" w:hAnsi="Georgia"/>
          <w:color w:val="000000"/>
          <w:sz w:val="54"/>
          <w:szCs w:val="54"/>
          <w:lang w:val="en-US"/>
        </w:rPr>
        <w:t>Atmospheric Pressure: Measurement, Distribution and Controlling Factors</w:t>
      </w:r>
    </w:p>
    <w:p w:rsidR="00D22402" w:rsidRPr="00D22402" w:rsidRDefault="00D22402" w:rsidP="00D22402">
      <w:pPr>
        <w:shd w:val="clear" w:color="auto" w:fill="FFFFFF"/>
        <w:spacing w:line="360" w:lineRule="atLeast"/>
        <w:textAlignment w:val="baseline"/>
        <w:rPr>
          <w:rFonts w:ascii="Georgia" w:hAnsi="Georgia"/>
          <w:color w:val="000000"/>
          <w:lang w:val="en-US"/>
        </w:rPr>
      </w:pPr>
      <w:r w:rsidRPr="00D22402">
        <w:rPr>
          <w:rFonts w:ascii="Georgia" w:hAnsi="Georgia"/>
          <w:color w:val="000000"/>
          <w:bdr w:val="none" w:sz="0" w:space="0" w:color="auto" w:frame="1"/>
          <w:lang w:val="en-US"/>
        </w:rPr>
        <w:t>Article shared by</w:t>
      </w:r>
      <w:r w:rsidRPr="00D22402">
        <w:rPr>
          <w:rFonts w:ascii="Georgia" w:hAnsi="Georgia"/>
          <w:color w:val="000000"/>
          <w:lang w:val="en-US"/>
        </w:rPr>
        <w:t> : </w:t>
      </w:r>
      <w:r>
        <w:rPr>
          <w:rFonts w:ascii="Georgia" w:hAnsi="Georgia"/>
          <w:color w:val="000000"/>
          <w:lang w:val="en-US"/>
        </w:rPr>
        <w:t xml:space="preserve">P.  </w:t>
      </w:r>
      <w:proofErr w:type="spellStart"/>
      <w:r>
        <w:rPr>
          <w:rFonts w:ascii="Georgia" w:hAnsi="Georgia"/>
          <w:color w:val="000000"/>
          <w:lang w:val="en-US"/>
        </w:rPr>
        <w:t>Tiwari</w:t>
      </w:r>
      <w:proofErr w:type="spellEnd"/>
    </w:p>
    <w:p w:rsidR="00A05D63" w:rsidRDefault="00A05D63">
      <w:pPr>
        <w:rPr>
          <w:lang w:val="en-US"/>
        </w:rPr>
      </w:pPr>
    </w:p>
    <w:p w:rsidR="00A05D63" w:rsidRDefault="00A05D63">
      <w:pPr>
        <w:rPr>
          <w:lang w:val="en-US"/>
        </w:rPr>
      </w:pPr>
    </w:p>
    <w:p w:rsidR="00A05D63" w:rsidRDefault="00A05D63">
      <w:pPr>
        <w:rPr>
          <w:lang w:val="en-US"/>
        </w:rPr>
      </w:pPr>
      <w:r>
        <w:rPr>
          <w:lang w:val="en-US"/>
        </w:rPr>
        <w:t>Source of image:</w:t>
      </w:r>
    </w:p>
    <w:p w:rsidR="00A05D63" w:rsidRPr="0082176F" w:rsidRDefault="00A05D63">
      <w:pPr>
        <w:rPr>
          <w:lang w:val="en-US"/>
        </w:rPr>
      </w:pPr>
      <w:r w:rsidRPr="00A05D63">
        <w:rPr>
          <w:lang w:val="en-US"/>
        </w:rPr>
        <w:t>http://www.climate4you.com/GlobalTemperatures.htm#Earths rotation and global temperature</w:t>
      </w:r>
    </w:p>
    <w:sectPr w:rsidR="00A05D63" w:rsidRPr="0082176F" w:rsidSect="0091419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PLRoman12-Regular">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EE"/>
    <w:family w:val="swiss"/>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EE"/>
    <w:family w:val="roman"/>
    <w:pitch w:val="variable"/>
    <w:sig w:usb0="E00002FF" w:usb1="420024FF" w:usb2="00000000" w:usb3="00000000" w:csb0="0000019F" w:csb1="00000000"/>
  </w:font>
  <w:font w:name="Georgia">
    <w:panose1 w:val="02040502050405020303"/>
    <w:charset w:val="EE"/>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82176F"/>
    <w:rsid w:val="0020144C"/>
    <w:rsid w:val="00310E55"/>
    <w:rsid w:val="0035027B"/>
    <w:rsid w:val="005B0B92"/>
    <w:rsid w:val="00654B28"/>
    <w:rsid w:val="007513B0"/>
    <w:rsid w:val="007A1A0D"/>
    <w:rsid w:val="0082176F"/>
    <w:rsid w:val="008266E3"/>
    <w:rsid w:val="0091419D"/>
    <w:rsid w:val="00A05D63"/>
    <w:rsid w:val="00AA099F"/>
    <w:rsid w:val="00AF7B2A"/>
    <w:rsid w:val="00B251C5"/>
    <w:rsid w:val="00C20A68"/>
    <w:rsid w:val="00D22402"/>
    <w:rsid w:val="00F5007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2176F"/>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D224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7513B0"/>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link w:val="Nagwek4Znak"/>
    <w:qFormat/>
    <w:rsid w:val="0082176F"/>
    <w:pPr>
      <w:spacing w:before="100" w:beforeAutospacing="1" w:after="100" w:afterAutospacing="1"/>
      <w:outlineLvl w:val="3"/>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basedOn w:val="Domylnaczcionkaakapitu"/>
    <w:link w:val="Nagwek4"/>
    <w:rsid w:val="0082176F"/>
    <w:rPr>
      <w:rFonts w:ascii="Times New Roman" w:eastAsia="Times New Roman" w:hAnsi="Times New Roman" w:cs="Times New Roman"/>
      <w:b/>
      <w:bCs/>
      <w:sz w:val="24"/>
      <w:szCs w:val="24"/>
      <w:lang w:eastAsia="pl-PL"/>
    </w:rPr>
  </w:style>
  <w:style w:type="character" w:styleId="Hipercze">
    <w:name w:val="Hyperlink"/>
    <w:semiHidden/>
    <w:rsid w:val="0082176F"/>
    <w:rPr>
      <w:color w:val="0000FF"/>
      <w:u w:val="single"/>
    </w:rPr>
  </w:style>
  <w:style w:type="paragraph" w:customStyle="1" w:styleId="Default">
    <w:name w:val="Default"/>
    <w:rsid w:val="0082176F"/>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customStyle="1" w:styleId="Nagwek3Znak">
    <w:name w:val="Nagłówek 3 Znak"/>
    <w:basedOn w:val="Domylnaczcionkaakapitu"/>
    <w:link w:val="Nagwek3"/>
    <w:uiPriority w:val="9"/>
    <w:semiHidden/>
    <w:rsid w:val="007513B0"/>
    <w:rPr>
      <w:rFonts w:asciiTheme="majorHAnsi" w:eastAsiaTheme="majorEastAsia" w:hAnsiTheme="majorHAnsi" w:cstheme="majorBidi"/>
      <w:b/>
      <w:bCs/>
      <w:color w:val="4F81BD" w:themeColor="accent1"/>
      <w:sz w:val="24"/>
      <w:szCs w:val="24"/>
      <w:lang w:eastAsia="pl-PL"/>
    </w:rPr>
  </w:style>
  <w:style w:type="paragraph" w:styleId="NormalnyWeb">
    <w:name w:val="Normal (Web)"/>
    <w:basedOn w:val="Normalny"/>
    <w:semiHidden/>
    <w:rsid w:val="007513B0"/>
    <w:pPr>
      <w:spacing w:before="100" w:beforeAutospacing="1" w:after="100" w:afterAutospacing="1"/>
    </w:pPr>
  </w:style>
  <w:style w:type="character" w:customStyle="1" w:styleId="hps">
    <w:name w:val="hps"/>
    <w:basedOn w:val="Domylnaczcionkaakapitu"/>
    <w:rsid w:val="007513B0"/>
  </w:style>
  <w:style w:type="paragraph" w:styleId="Tekstdymka">
    <w:name w:val="Balloon Text"/>
    <w:basedOn w:val="Normalny"/>
    <w:link w:val="TekstdymkaZnak"/>
    <w:uiPriority w:val="99"/>
    <w:semiHidden/>
    <w:unhideWhenUsed/>
    <w:rsid w:val="007A1A0D"/>
    <w:rPr>
      <w:rFonts w:ascii="Tahoma" w:hAnsi="Tahoma" w:cs="Tahoma"/>
      <w:sz w:val="16"/>
      <w:szCs w:val="16"/>
    </w:rPr>
  </w:style>
  <w:style w:type="character" w:customStyle="1" w:styleId="TekstdymkaZnak">
    <w:name w:val="Tekst dymka Znak"/>
    <w:basedOn w:val="Domylnaczcionkaakapitu"/>
    <w:link w:val="Tekstdymka"/>
    <w:uiPriority w:val="99"/>
    <w:semiHidden/>
    <w:rsid w:val="007A1A0D"/>
    <w:rPr>
      <w:rFonts w:ascii="Tahoma" w:eastAsia="Times New Roman" w:hAnsi="Tahoma" w:cs="Tahoma"/>
      <w:sz w:val="16"/>
      <w:szCs w:val="16"/>
      <w:lang w:eastAsia="pl-PL"/>
    </w:rPr>
  </w:style>
  <w:style w:type="character" w:customStyle="1" w:styleId="Nagwek1Znak">
    <w:name w:val="Nagłówek 1 Znak"/>
    <w:basedOn w:val="Domylnaczcionkaakapitu"/>
    <w:link w:val="Nagwek1"/>
    <w:uiPriority w:val="9"/>
    <w:rsid w:val="00D22402"/>
    <w:rPr>
      <w:rFonts w:asciiTheme="majorHAnsi" w:eastAsiaTheme="majorEastAsia" w:hAnsiTheme="majorHAnsi" w:cstheme="majorBidi"/>
      <w:b/>
      <w:bCs/>
      <w:color w:val="365F91" w:themeColor="accent1" w:themeShade="BF"/>
      <w:sz w:val="28"/>
      <w:szCs w:val="28"/>
      <w:lang w:eastAsia="pl-PL"/>
    </w:rPr>
  </w:style>
  <w:style w:type="character" w:customStyle="1" w:styleId="publication-type-badge">
    <w:name w:val="publication-type-badge"/>
    <w:basedOn w:val="Domylnaczcionkaakapitu"/>
    <w:rsid w:val="0020144C"/>
  </w:style>
</w:styles>
</file>

<file path=word/webSettings.xml><?xml version="1.0" encoding="utf-8"?>
<w:webSettings xmlns:r="http://schemas.openxmlformats.org/officeDocument/2006/relationships" xmlns:w="http://schemas.openxmlformats.org/wordprocessingml/2006/main">
  <w:divs>
    <w:div w:id="870842491">
      <w:bodyDiv w:val="1"/>
      <w:marLeft w:val="0"/>
      <w:marRight w:val="0"/>
      <w:marTop w:val="0"/>
      <w:marBottom w:val="0"/>
      <w:divBdr>
        <w:top w:val="none" w:sz="0" w:space="0" w:color="auto"/>
        <w:left w:val="none" w:sz="0" w:space="0" w:color="auto"/>
        <w:bottom w:val="none" w:sz="0" w:space="0" w:color="auto"/>
        <w:right w:val="none" w:sz="0" w:space="0" w:color="auto"/>
      </w:divBdr>
      <w:divsChild>
        <w:div w:id="192112675">
          <w:marLeft w:val="0"/>
          <w:marRight w:val="0"/>
          <w:marTop w:val="0"/>
          <w:marBottom w:val="0"/>
          <w:divBdr>
            <w:top w:val="none" w:sz="0" w:space="0" w:color="auto"/>
            <w:left w:val="none" w:sz="0" w:space="0" w:color="auto"/>
            <w:bottom w:val="none" w:sz="0" w:space="0" w:color="auto"/>
            <w:right w:val="none" w:sz="0" w:space="0" w:color="auto"/>
          </w:divBdr>
        </w:div>
      </w:divsChild>
    </w:div>
    <w:div w:id="1301694778">
      <w:bodyDiv w:val="1"/>
      <w:marLeft w:val="0"/>
      <w:marRight w:val="0"/>
      <w:marTop w:val="0"/>
      <w:marBottom w:val="0"/>
      <w:divBdr>
        <w:top w:val="none" w:sz="0" w:space="0" w:color="auto"/>
        <w:left w:val="none" w:sz="0" w:space="0" w:color="auto"/>
        <w:bottom w:val="none" w:sz="0" w:space="0" w:color="auto"/>
        <w:right w:val="none" w:sz="0" w:space="0" w:color="auto"/>
      </w:divBdr>
      <w:divsChild>
        <w:div w:id="1507942042">
          <w:marLeft w:val="0"/>
          <w:marRight w:val="0"/>
          <w:marTop w:val="0"/>
          <w:marBottom w:val="432"/>
          <w:divBdr>
            <w:top w:val="none" w:sz="0" w:space="0" w:color="auto"/>
            <w:left w:val="none" w:sz="0" w:space="0" w:color="auto"/>
            <w:bottom w:val="none" w:sz="0" w:space="0" w:color="auto"/>
            <w:right w:val="none" w:sz="0" w:space="0" w:color="auto"/>
          </w:divBdr>
        </w:div>
      </w:divsChild>
    </w:div>
    <w:div w:id="2097088079">
      <w:bodyDiv w:val="1"/>
      <w:marLeft w:val="0"/>
      <w:marRight w:val="0"/>
      <w:marTop w:val="0"/>
      <w:marBottom w:val="0"/>
      <w:divBdr>
        <w:top w:val="none" w:sz="0" w:space="0" w:color="auto"/>
        <w:left w:val="none" w:sz="0" w:space="0" w:color="auto"/>
        <w:bottom w:val="none" w:sz="0" w:space="0" w:color="auto"/>
        <w:right w:val="none" w:sz="0" w:space="0" w:color="auto"/>
      </w:divBdr>
      <w:divsChild>
        <w:div w:id="1472943451">
          <w:marLeft w:val="0"/>
          <w:marRight w:val="0"/>
          <w:marTop w:val="0"/>
          <w:marBottom w:val="225"/>
          <w:divBdr>
            <w:top w:val="none" w:sz="0" w:space="0" w:color="auto"/>
            <w:left w:val="none" w:sz="0" w:space="0" w:color="auto"/>
            <w:bottom w:val="none" w:sz="0" w:space="0" w:color="auto"/>
            <w:right w:val="none" w:sz="0" w:space="0" w:color="auto"/>
          </w:divBdr>
        </w:div>
        <w:div w:id="837497924">
          <w:marLeft w:val="0"/>
          <w:marRight w:val="0"/>
          <w:marTop w:val="0"/>
          <w:marBottom w:val="225"/>
          <w:divBdr>
            <w:top w:val="none" w:sz="0" w:space="0" w:color="auto"/>
            <w:left w:val="none" w:sz="0" w:space="0" w:color="auto"/>
            <w:bottom w:val="none" w:sz="0" w:space="0" w:color="auto"/>
            <w:right w:val="none" w:sz="0" w:space="0" w:color="auto"/>
          </w:divBdr>
          <w:divsChild>
            <w:div w:id="350767878">
              <w:marLeft w:val="0"/>
              <w:marRight w:val="0"/>
              <w:marTop w:val="0"/>
              <w:marBottom w:val="0"/>
              <w:divBdr>
                <w:top w:val="none" w:sz="0" w:space="0" w:color="auto"/>
                <w:left w:val="none" w:sz="0" w:space="0" w:color="auto"/>
                <w:bottom w:val="none" w:sz="0" w:space="0" w:color="auto"/>
                <w:right w:val="none" w:sz="0" w:space="0" w:color="auto"/>
              </w:divBdr>
            </w:div>
          </w:divsChild>
        </w:div>
        <w:div w:id="783111651">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l.cam.ac.uk/~mgk25/time/metrologia-leapsecond.pdf" TargetMode="External"/><Relationship Id="rId13" Type="http://schemas.openxmlformats.org/officeDocument/2006/relationships/hyperlink" Target="http://bourabai.narod.ru/landscheidt/relationship.htm" TargetMode="External"/><Relationship Id="rId18"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oleObject" Target="embeddings/oleObject3.bin"/><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hyperlink" Target="https://www.researchgate.net/publication/324679995_Regional_drought_shifts_1710-2010_in_East_Central_Asia_and_linkages_with_atmospheric_circulation_recorded_in_tree-ring_d18O"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3.png"/><Relationship Id="rId5" Type="http://schemas.openxmlformats.org/officeDocument/2006/relationships/oleObject" Target="embeddings/oleObject1.bin"/><Relationship Id="rId15" Type="http://schemas.openxmlformats.org/officeDocument/2006/relationships/image" Target="media/image5.png"/><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neic.usgs.gov/neis/eqlists/7up.html" TargetMode="Externa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Bogdan\Desktop\India\Raifall%20in%20India%20Przestaw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plotArea>
      <c:layout/>
      <c:lineChart>
        <c:grouping val="standard"/>
        <c:ser>
          <c:idx val="1"/>
          <c:order val="1"/>
          <c:marker>
            <c:symbol val="none"/>
          </c:marker>
          <c:val>
            <c:numRef>
              <c:f>Arkusz1!$Q$2:$Q$116</c:f>
              <c:numCache>
                <c:formatCode>General</c:formatCode>
                <c:ptCount val="115"/>
                <c:pt idx="0">
                  <c:v>1032.3</c:v>
                </c:pt>
                <c:pt idx="1">
                  <c:v>1030.2</c:v>
                </c:pt>
                <c:pt idx="2">
                  <c:v>1190.5</c:v>
                </c:pt>
                <c:pt idx="3">
                  <c:v>1019.8</c:v>
                </c:pt>
                <c:pt idx="4">
                  <c:v>975.3</c:v>
                </c:pt>
                <c:pt idx="5">
                  <c:v>1144.0999999999999</c:v>
                </c:pt>
                <c:pt idx="6">
                  <c:v>1039.7</c:v>
                </c:pt>
                <c:pt idx="7">
                  <c:v>1096.5999999999999</c:v>
                </c:pt>
                <c:pt idx="8">
                  <c:v>1158.0999999999999</c:v>
                </c:pt>
                <c:pt idx="9">
                  <c:v>1200.3</c:v>
                </c:pt>
                <c:pt idx="10">
                  <c:v>1047.5</c:v>
                </c:pt>
                <c:pt idx="11">
                  <c:v>1078.0999999999999</c:v>
                </c:pt>
                <c:pt idx="12">
                  <c:v>1068.9000000000001</c:v>
                </c:pt>
                <c:pt idx="13">
                  <c:v>1214.3</c:v>
                </c:pt>
                <c:pt idx="14">
                  <c:v>1137.2</c:v>
                </c:pt>
                <c:pt idx="15">
                  <c:v>1337.1</c:v>
                </c:pt>
                <c:pt idx="16">
                  <c:v>1480.3</c:v>
                </c:pt>
                <c:pt idx="17">
                  <c:v>1026.2</c:v>
                </c:pt>
                <c:pt idx="18">
                  <c:v>1308.9000000000001</c:v>
                </c:pt>
                <c:pt idx="19">
                  <c:v>1047.9000000000001</c:v>
                </c:pt>
                <c:pt idx="20">
                  <c:v>1240.2</c:v>
                </c:pt>
                <c:pt idx="21">
                  <c:v>1211.9000000000001</c:v>
                </c:pt>
                <c:pt idx="22">
                  <c:v>1176.3</c:v>
                </c:pt>
                <c:pt idx="23">
                  <c:v>1268.3</c:v>
                </c:pt>
                <c:pt idx="24">
                  <c:v>1210.4000000000001</c:v>
                </c:pt>
                <c:pt idx="25">
                  <c:v>1246.8</c:v>
                </c:pt>
                <c:pt idx="26">
                  <c:v>1262.5999999999999</c:v>
                </c:pt>
                <c:pt idx="27">
                  <c:v>1218.4000000000001</c:v>
                </c:pt>
                <c:pt idx="28">
                  <c:v>1208.5</c:v>
                </c:pt>
                <c:pt idx="29">
                  <c:v>1209.4000000000001</c:v>
                </c:pt>
                <c:pt idx="30">
                  <c:v>1314.6</c:v>
                </c:pt>
                <c:pt idx="31">
                  <c:v>1218.9000000000001</c:v>
                </c:pt>
                <c:pt idx="32">
                  <c:v>1393.5</c:v>
                </c:pt>
                <c:pt idx="33">
                  <c:v>1227.5999999999999</c:v>
                </c:pt>
                <c:pt idx="34">
                  <c:v>1143.4000000000001</c:v>
                </c:pt>
                <c:pt idx="35">
                  <c:v>1341.7</c:v>
                </c:pt>
                <c:pt idx="36">
                  <c:v>1218.0999999999999</c:v>
                </c:pt>
                <c:pt idx="37">
                  <c:v>1306.7</c:v>
                </c:pt>
                <c:pt idx="38">
                  <c:v>1125.9000000000001</c:v>
                </c:pt>
                <c:pt idx="39">
                  <c:v>1214.5999999999999</c:v>
                </c:pt>
                <c:pt idx="40">
                  <c:v>1080.9000000000001</c:v>
                </c:pt>
                <c:pt idx="41">
                  <c:v>1292.7</c:v>
                </c:pt>
                <c:pt idx="42">
                  <c:v>1282.0999999999999</c:v>
                </c:pt>
                <c:pt idx="43">
                  <c:v>1319.1</c:v>
                </c:pt>
                <c:pt idx="44">
                  <c:v>1225.8</c:v>
                </c:pt>
                <c:pt idx="45">
                  <c:v>1332.6</c:v>
                </c:pt>
                <c:pt idx="46">
                  <c:v>1236.5999999999999</c:v>
                </c:pt>
                <c:pt idx="47">
                  <c:v>1341.9</c:v>
                </c:pt>
                <c:pt idx="48">
                  <c:v>1272.4000000000001</c:v>
                </c:pt>
                <c:pt idx="49">
                  <c:v>1172.5</c:v>
                </c:pt>
                <c:pt idx="50">
                  <c:v>1061.3</c:v>
                </c:pt>
                <c:pt idx="51">
                  <c:v>1108.2</c:v>
                </c:pt>
                <c:pt idx="52">
                  <c:v>1222.9000000000001</c:v>
                </c:pt>
                <c:pt idx="53">
                  <c:v>1180.3</c:v>
                </c:pt>
                <c:pt idx="54">
                  <c:v>1298.3</c:v>
                </c:pt>
                <c:pt idx="55">
                  <c:v>1386.2</c:v>
                </c:pt>
                <c:pt idx="56">
                  <c:v>1178.2</c:v>
                </c:pt>
                <c:pt idx="57">
                  <c:v>1331</c:v>
                </c:pt>
                <c:pt idx="58">
                  <c:v>1382.1</c:v>
                </c:pt>
                <c:pt idx="59">
                  <c:v>1149</c:v>
                </c:pt>
                <c:pt idx="60">
                  <c:v>1403</c:v>
                </c:pt>
                <c:pt idx="61">
                  <c:v>1196.4000000000001</c:v>
                </c:pt>
                <c:pt idx="62">
                  <c:v>1210.2</c:v>
                </c:pt>
                <c:pt idx="63">
                  <c:v>1235.0999999999999</c:v>
                </c:pt>
                <c:pt idx="64">
                  <c:v>938.4</c:v>
                </c:pt>
                <c:pt idx="65">
                  <c:v>1064</c:v>
                </c:pt>
                <c:pt idx="66">
                  <c:v>1148.3</c:v>
                </c:pt>
                <c:pt idx="67">
                  <c:v>1054.2</c:v>
                </c:pt>
                <c:pt idx="68">
                  <c:v>1147.7</c:v>
                </c:pt>
                <c:pt idx="69">
                  <c:v>1247</c:v>
                </c:pt>
                <c:pt idx="70">
                  <c:v>1218</c:v>
                </c:pt>
                <c:pt idx="71">
                  <c:v>948.5</c:v>
                </c:pt>
                <c:pt idx="72">
                  <c:v>1214</c:v>
                </c:pt>
                <c:pt idx="73">
                  <c:v>1043.7</c:v>
                </c:pt>
                <c:pt idx="74">
                  <c:v>1290.2</c:v>
                </c:pt>
                <c:pt idx="75">
                  <c:v>1124.8</c:v>
                </c:pt>
                <c:pt idx="76">
                  <c:v>1270.4000000000001</c:v>
                </c:pt>
                <c:pt idx="77">
                  <c:v>1239.3</c:v>
                </c:pt>
                <c:pt idx="78">
                  <c:v>1023.4</c:v>
                </c:pt>
                <c:pt idx="79">
                  <c:v>1189.5</c:v>
                </c:pt>
                <c:pt idx="80">
                  <c:v>1171.5999999999999</c:v>
                </c:pt>
                <c:pt idx="81">
                  <c:v>1086.8</c:v>
                </c:pt>
                <c:pt idx="82">
                  <c:v>1331.5</c:v>
                </c:pt>
                <c:pt idx="83">
                  <c:v>1155.9000000000001</c:v>
                </c:pt>
                <c:pt idx="84">
                  <c:v>1140</c:v>
                </c:pt>
                <c:pt idx="85">
                  <c:v>1126.5999999999999</c:v>
                </c:pt>
                <c:pt idx="86">
                  <c:v>1078.9000000000001</c:v>
                </c:pt>
                <c:pt idx="87">
                  <c:v>1351</c:v>
                </c:pt>
                <c:pt idx="88">
                  <c:v>1122.4000000000001</c:v>
                </c:pt>
                <c:pt idx="89">
                  <c:v>1400.6</c:v>
                </c:pt>
                <c:pt idx="90">
                  <c:v>1159.9000000000001</c:v>
                </c:pt>
                <c:pt idx="91">
                  <c:v>1121.3</c:v>
                </c:pt>
                <c:pt idx="92">
                  <c:v>1201.9000000000001</c:v>
                </c:pt>
                <c:pt idx="93">
                  <c:v>1295.5999999999999</c:v>
                </c:pt>
                <c:pt idx="94">
                  <c:v>1243.5999999999999</c:v>
                </c:pt>
                <c:pt idx="95">
                  <c:v>1181.8</c:v>
                </c:pt>
                <c:pt idx="96">
                  <c:v>1171.4000000000001</c:v>
                </c:pt>
                <c:pt idx="97">
                  <c:v>1243.5</c:v>
                </c:pt>
                <c:pt idx="98">
                  <c:v>1132</c:v>
                </c:pt>
                <c:pt idx="99">
                  <c:v>1050.4000000000001</c:v>
                </c:pt>
                <c:pt idx="100">
                  <c:v>1083.3</c:v>
                </c:pt>
                <c:pt idx="101">
                  <c:v>920.8</c:v>
                </c:pt>
                <c:pt idx="102">
                  <c:v>1174.5</c:v>
                </c:pt>
                <c:pt idx="103">
                  <c:v>1071.3</c:v>
                </c:pt>
                <c:pt idx="104">
                  <c:v>1232.5</c:v>
                </c:pt>
                <c:pt idx="105">
                  <c:v>1199.4000000000001</c:v>
                </c:pt>
                <c:pt idx="106">
                  <c:v>1215.5999999999999</c:v>
                </c:pt>
                <c:pt idx="107">
                  <c:v>1132.0999999999999</c:v>
                </c:pt>
                <c:pt idx="108">
                  <c:v>959.3</c:v>
                </c:pt>
                <c:pt idx="109">
                  <c:v>1200.5</c:v>
                </c:pt>
                <c:pt idx="110">
                  <c:v>1110.0999999999999</c:v>
                </c:pt>
                <c:pt idx="111">
                  <c:v>1073.5</c:v>
                </c:pt>
                <c:pt idx="112">
                  <c:v>1216.2</c:v>
                </c:pt>
                <c:pt idx="113">
                  <c:v>1033.7</c:v>
                </c:pt>
                <c:pt idx="114">
                  <c:v>1093.2</c:v>
                </c:pt>
              </c:numCache>
            </c:numRef>
          </c:val>
        </c:ser>
        <c:marker val="1"/>
        <c:axId val="72136576"/>
        <c:axId val="72138112"/>
      </c:lineChart>
      <c:lineChart>
        <c:grouping val="standard"/>
        <c:ser>
          <c:idx val="0"/>
          <c:order val="0"/>
          <c:marker>
            <c:symbol val="none"/>
          </c:marker>
          <c:val>
            <c:numRef>
              <c:f>Arkusz1!$P$2:$P$116</c:f>
              <c:numCache>
                <c:formatCode>General</c:formatCode>
                <c:ptCount val="115"/>
                <c:pt idx="0">
                  <c:v>-2.3099999999999987</c:v>
                </c:pt>
                <c:pt idx="1">
                  <c:v>0.69000000000000061</c:v>
                </c:pt>
                <c:pt idx="2">
                  <c:v>-0.58000000000000007</c:v>
                </c:pt>
                <c:pt idx="3">
                  <c:v>-1.9900000000000035</c:v>
                </c:pt>
                <c:pt idx="4">
                  <c:v>2.66</c:v>
                </c:pt>
                <c:pt idx="5">
                  <c:v>2.9</c:v>
                </c:pt>
                <c:pt idx="6">
                  <c:v>1</c:v>
                </c:pt>
                <c:pt idx="7">
                  <c:v>-0.14000000000000001</c:v>
                </c:pt>
                <c:pt idx="8">
                  <c:v>1.25</c:v>
                </c:pt>
                <c:pt idx="9">
                  <c:v>-5.03</c:v>
                </c:pt>
                <c:pt idx="10">
                  <c:v>-0.42000000000000032</c:v>
                </c:pt>
                <c:pt idx="11">
                  <c:v>0.54</c:v>
                </c:pt>
                <c:pt idx="12">
                  <c:v>-0.1</c:v>
                </c:pt>
                <c:pt idx="13">
                  <c:v>-1.1299999999999963</c:v>
                </c:pt>
                <c:pt idx="14">
                  <c:v>2.8299999999999987</c:v>
                </c:pt>
                <c:pt idx="15">
                  <c:v>-0.52</c:v>
                </c:pt>
                <c:pt idx="16">
                  <c:v>-4.59</c:v>
                </c:pt>
                <c:pt idx="17">
                  <c:v>-1.1599999999999964</c:v>
                </c:pt>
                <c:pt idx="18">
                  <c:v>1.82</c:v>
                </c:pt>
                <c:pt idx="19">
                  <c:v>1.36</c:v>
                </c:pt>
                <c:pt idx="20">
                  <c:v>-1.1599999999999964</c:v>
                </c:pt>
                <c:pt idx="21">
                  <c:v>-0.05</c:v>
                </c:pt>
                <c:pt idx="22">
                  <c:v>1.74</c:v>
                </c:pt>
                <c:pt idx="23">
                  <c:v>-3.42</c:v>
                </c:pt>
                <c:pt idx="24">
                  <c:v>-2.98</c:v>
                </c:pt>
                <c:pt idx="25">
                  <c:v>1</c:v>
                </c:pt>
                <c:pt idx="26">
                  <c:v>2.12</c:v>
                </c:pt>
                <c:pt idx="27">
                  <c:v>-0.44</c:v>
                </c:pt>
                <c:pt idx="28">
                  <c:v>0.21000000000000021</c:v>
                </c:pt>
                <c:pt idx="29">
                  <c:v>-4.3599999999999985</c:v>
                </c:pt>
                <c:pt idx="30">
                  <c:v>-2.42</c:v>
                </c:pt>
                <c:pt idx="31">
                  <c:v>0.5</c:v>
                </c:pt>
                <c:pt idx="32">
                  <c:v>-2.44</c:v>
                </c:pt>
                <c:pt idx="33">
                  <c:v>-4.1499999999999995</c:v>
                </c:pt>
                <c:pt idx="34">
                  <c:v>-0.46</c:v>
                </c:pt>
                <c:pt idx="35">
                  <c:v>-2.66</c:v>
                </c:pt>
                <c:pt idx="36">
                  <c:v>0.56999999999999995</c:v>
                </c:pt>
                <c:pt idx="37">
                  <c:v>-0.2</c:v>
                </c:pt>
                <c:pt idx="38">
                  <c:v>-3.61</c:v>
                </c:pt>
                <c:pt idx="39">
                  <c:v>0.47000000000000008</c:v>
                </c:pt>
                <c:pt idx="40">
                  <c:v>2.8699999999999997</c:v>
                </c:pt>
                <c:pt idx="41">
                  <c:v>1.3900000000000001</c:v>
                </c:pt>
                <c:pt idx="42">
                  <c:v>-3.13</c:v>
                </c:pt>
                <c:pt idx="43">
                  <c:v>0.68</c:v>
                </c:pt>
                <c:pt idx="44">
                  <c:v>3.09</c:v>
                </c:pt>
                <c:pt idx="45">
                  <c:v>1.1499999999999964</c:v>
                </c:pt>
                <c:pt idx="46">
                  <c:v>-0.59</c:v>
                </c:pt>
                <c:pt idx="47">
                  <c:v>0.75000000000000178</c:v>
                </c:pt>
                <c:pt idx="48">
                  <c:v>0.36000000000000032</c:v>
                </c:pt>
                <c:pt idx="49">
                  <c:v>0.93</c:v>
                </c:pt>
                <c:pt idx="50">
                  <c:v>1.31</c:v>
                </c:pt>
                <c:pt idx="51">
                  <c:v>-3.6</c:v>
                </c:pt>
                <c:pt idx="52">
                  <c:v>-1.6300000000000001</c:v>
                </c:pt>
                <c:pt idx="53">
                  <c:v>-3.79</c:v>
                </c:pt>
                <c:pt idx="54">
                  <c:v>-2.2000000000000002</c:v>
                </c:pt>
                <c:pt idx="55">
                  <c:v>-4.5599999999999996</c:v>
                </c:pt>
                <c:pt idx="56">
                  <c:v>3.9299999999999997</c:v>
                </c:pt>
                <c:pt idx="57">
                  <c:v>0.29000000000000031</c:v>
                </c:pt>
                <c:pt idx="58">
                  <c:v>0.66000000000000214</c:v>
                </c:pt>
                <c:pt idx="59">
                  <c:v>-1.1900000000000033</c:v>
                </c:pt>
                <c:pt idx="60">
                  <c:v>1.31</c:v>
                </c:pt>
                <c:pt idx="61">
                  <c:v>-1.34</c:v>
                </c:pt>
                <c:pt idx="62">
                  <c:v>-4.24</c:v>
                </c:pt>
                <c:pt idx="63">
                  <c:v>0.32000000000000095</c:v>
                </c:pt>
                <c:pt idx="64">
                  <c:v>-0.14000000000000001</c:v>
                </c:pt>
                <c:pt idx="65">
                  <c:v>-2.48</c:v>
                </c:pt>
                <c:pt idx="66">
                  <c:v>-0.34</c:v>
                </c:pt>
                <c:pt idx="67">
                  <c:v>0.45</c:v>
                </c:pt>
                <c:pt idx="68">
                  <c:v>0.69000000000000061</c:v>
                </c:pt>
                <c:pt idx="69">
                  <c:v>-0.24000000000000021</c:v>
                </c:pt>
                <c:pt idx="70">
                  <c:v>0.39000000000000096</c:v>
                </c:pt>
                <c:pt idx="71">
                  <c:v>1.76</c:v>
                </c:pt>
                <c:pt idx="72">
                  <c:v>5.0199999999999996</c:v>
                </c:pt>
                <c:pt idx="73">
                  <c:v>0.68</c:v>
                </c:pt>
                <c:pt idx="74">
                  <c:v>3.09</c:v>
                </c:pt>
                <c:pt idx="75">
                  <c:v>-3.63</c:v>
                </c:pt>
                <c:pt idx="76">
                  <c:v>0.5</c:v>
                </c:pt>
                <c:pt idx="77">
                  <c:v>0.2</c:v>
                </c:pt>
                <c:pt idx="78">
                  <c:v>2.8099999999999987</c:v>
                </c:pt>
                <c:pt idx="79">
                  <c:v>-1.6700000000000021</c:v>
                </c:pt>
                <c:pt idx="80">
                  <c:v>2.0000000000000011E-2</c:v>
                </c:pt>
                <c:pt idx="81">
                  <c:v>3.92</c:v>
                </c:pt>
                <c:pt idx="82">
                  <c:v>4.8199999999999985</c:v>
                </c:pt>
                <c:pt idx="83">
                  <c:v>1.46</c:v>
                </c:pt>
                <c:pt idx="84">
                  <c:v>3.0000000000000002E-2</c:v>
                </c:pt>
                <c:pt idx="85">
                  <c:v>1.44</c:v>
                </c:pt>
                <c:pt idx="86">
                  <c:v>-0.93</c:v>
                </c:pt>
                <c:pt idx="87">
                  <c:v>-4.04</c:v>
                </c:pt>
                <c:pt idx="88">
                  <c:v>-0.89</c:v>
                </c:pt>
                <c:pt idx="89">
                  <c:v>2.23</c:v>
                </c:pt>
                <c:pt idx="90">
                  <c:v>2.5</c:v>
                </c:pt>
                <c:pt idx="91">
                  <c:v>1.32</c:v>
                </c:pt>
                <c:pt idx="92">
                  <c:v>2.68</c:v>
                </c:pt>
                <c:pt idx="93">
                  <c:v>0.68</c:v>
                </c:pt>
                <c:pt idx="94">
                  <c:v>2.75</c:v>
                </c:pt>
                <c:pt idx="95">
                  <c:v>3.7600000000000002</c:v>
                </c:pt>
                <c:pt idx="96">
                  <c:v>1.9200000000000021</c:v>
                </c:pt>
                <c:pt idx="97">
                  <c:v>3.9499999999999997</c:v>
                </c:pt>
                <c:pt idx="98">
                  <c:v>-1.47</c:v>
                </c:pt>
                <c:pt idx="99">
                  <c:v>-1.72</c:v>
                </c:pt>
                <c:pt idx="100">
                  <c:v>-0.92</c:v>
                </c:pt>
                <c:pt idx="101">
                  <c:v>-0.89</c:v>
                </c:pt>
                <c:pt idx="102">
                  <c:v>0.56999999999999995</c:v>
                </c:pt>
                <c:pt idx="103">
                  <c:v>3.3099999999999987</c:v>
                </c:pt>
                <c:pt idx="104">
                  <c:v>0.14000000000000001</c:v>
                </c:pt>
                <c:pt idx="105">
                  <c:v>-0.12000000000000002</c:v>
                </c:pt>
                <c:pt idx="106">
                  <c:v>-0.7600000000000019</c:v>
                </c:pt>
                <c:pt idx="107">
                  <c:v>1.3</c:v>
                </c:pt>
                <c:pt idx="108">
                  <c:v>2.36</c:v>
                </c:pt>
                <c:pt idx="109">
                  <c:v>1.43</c:v>
                </c:pt>
                <c:pt idx="110">
                  <c:v>0.16</c:v>
                </c:pt>
                <c:pt idx="111">
                  <c:v>-2.4099999999999997</c:v>
                </c:pt>
                <c:pt idx="112">
                  <c:v>1.1200000000000001</c:v>
                </c:pt>
                <c:pt idx="113">
                  <c:v>0.91</c:v>
                </c:pt>
                <c:pt idx="114">
                  <c:v>4.63</c:v>
                </c:pt>
              </c:numCache>
            </c:numRef>
          </c:val>
        </c:ser>
        <c:marker val="1"/>
        <c:axId val="72145920"/>
        <c:axId val="72144384"/>
      </c:lineChart>
      <c:catAx>
        <c:axId val="72136576"/>
        <c:scaling>
          <c:orientation val="minMax"/>
        </c:scaling>
        <c:axPos val="b"/>
        <c:tickLblPos val="nextTo"/>
        <c:crossAx val="72138112"/>
        <c:crosses val="autoZero"/>
        <c:auto val="1"/>
        <c:lblAlgn val="ctr"/>
        <c:lblOffset val="100"/>
      </c:catAx>
      <c:valAx>
        <c:axId val="72138112"/>
        <c:scaling>
          <c:orientation val="minMax"/>
        </c:scaling>
        <c:axPos val="l"/>
        <c:majorGridlines/>
        <c:numFmt formatCode="General" sourceLinked="1"/>
        <c:tickLblPos val="nextTo"/>
        <c:crossAx val="72136576"/>
        <c:crosses val="autoZero"/>
        <c:crossBetween val="between"/>
      </c:valAx>
      <c:valAx>
        <c:axId val="72144384"/>
        <c:scaling>
          <c:orientation val="minMax"/>
        </c:scaling>
        <c:axPos val="r"/>
        <c:numFmt formatCode="General" sourceLinked="1"/>
        <c:tickLblPos val="nextTo"/>
        <c:crossAx val="72145920"/>
        <c:crosses val="max"/>
        <c:crossBetween val="between"/>
      </c:valAx>
      <c:catAx>
        <c:axId val="72145920"/>
        <c:scaling>
          <c:orientation val="minMax"/>
        </c:scaling>
        <c:delete val="1"/>
        <c:axPos val="b"/>
        <c:tickLblPos val="none"/>
        <c:crossAx val="72144384"/>
        <c:crosses val="autoZero"/>
        <c:auto val="1"/>
        <c:lblAlgn val="ctr"/>
        <c:lblOffset val="100"/>
      </c:catAx>
    </c:plotArea>
    <c:legend>
      <c:legendPos val="r"/>
    </c:legend>
    <c:plotVisOnly val="1"/>
  </c:chart>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306</TotalTime>
  <Pages>8</Pages>
  <Words>1294</Words>
  <Characters>7764</Characters>
  <Application>Microsoft Office Word</Application>
  <DocSecurity>0</DocSecurity>
  <Lines>64</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Bogdan</dc:creator>
  <cp:keywords/>
  <dc:description/>
  <cp:lastModifiedBy>Bogdan</cp:lastModifiedBy>
  <cp:revision>15</cp:revision>
  <dcterms:created xsi:type="dcterms:W3CDTF">2017-08-17T02:18:00Z</dcterms:created>
  <dcterms:modified xsi:type="dcterms:W3CDTF">2018-08-12T06:05:00Z</dcterms:modified>
</cp:coreProperties>
</file>